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3B85" w:rsidP="004E3B85" w:rsidRDefault="004E3B85" w14:paraId="22AD1D93" w14:textId="77777777">
      <w:pPr>
        <w:shd w:val="clear" w:color="auto" w:fill="FFFFFF" w:themeFill="background1"/>
        <w:jc w:val="both"/>
        <w:rPr>
          <w:rFonts w:cs="Times New Roman"/>
        </w:rPr>
      </w:pPr>
      <w:bookmarkStart w:name="_Hlk193367806" w:id="0"/>
    </w:p>
    <w:p w:rsidR="004E3B85" w:rsidP="004E3B85" w:rsidRDefault="004E3B85" w14:paraId="2B1B83BA" w14:textId="77777777">
      <w:pPr>
        <w:shd w:val="clear" w:color="auto" w:fill="FFFFFF" w:themeFill="background1"/>
        <w:jc w:val="both"/>
        <w:rPr>
          <w:rFonts w:cs="Times New Roman"/>
        </w:rPr>
      </w:pPr>
    </w:p>
    <w:p w:rsidR="004E3B85" w:rsidP="004E3B85" w:rsidRDefault="004E3B85" w14:paraId="16BBB27B" w14:textId="77777777">
      <w:pPr>
        <w:shd w:val="clear" w:color="auto" w:fill="FFFFFF" w:themeFill="background1"/>
        <w:jc w:val="both"/>
        <w:rPr>
          <w:rFonts w:cs="Times New Roman"/>
        </w:rPr>
      </w:pPr>
    </w:p>
    <w:p w:rsidRPr="009D08D6" w:rsidR="004E3B85" w:rsidP="009D08D6" w:rsidRDefault="00C13C60" w14:paraId="4A3D9273" w14:textId="61DD1106">
      <w:pPr>
        <w:shd w:val="clear" w:color="auto" w:fill="FFFFFF" w:themeFill="background1"/>
        <w:spacing w:after="0" w:line="240" w:lineRule="auto"/>
        <w:jc w:val="center"/>
        <w:rPr>
          <w:rFonts w:cs="Times New Roman"/>
          <w:b/>
          <w:bCs/>
        </w:rPr>
      </w:pPr>
      <w:r w:rsidRPr="009D08D6">
        <w:rPr>
          <w:rFonts w:cs="Times New Roman"/>
          <w:b/>
          <w:bCs/>
        </w:rPr>
        <w:t>The Council</w:t>
      </w:r>
    </w:p>
    <w:p w:rsidRPr="009D08D6" w:rsidR="00C13C60" w:rsidP="009D08D6" w:rsidRDefault="00C13C60" w14:paraId="2E4FAC68" w14:textId="212D2590">
      <w:pPr>
        <w:shd w:val="clear" w:color="auto" w:fill="FFFFFF" w:themeFill="background1"/>
        <w:spacing w:after="0" w:line="240" w:lineRule="auto"/>
        <w:jc w:val="center"/>
        <w:rPr>
          <w:rFonts w:cs="Times New Roman"/>
          <w:b/>
          <w:bCs/>
        </w:rPr>
      </w:pPr>
      <w:r w:rsidRPr="009D08D6">
        <w:rPr>
          <w:rFonts w:cs="Times New Roman"/>
          <w:b/>
          <w:bCs/>
        </w:rPr>
        <w:t xml:space="preserve">of the </w:t>
      </w:r>
    </w:p>
    <w:p w:rsidRPr="009D08D6" w:rsidR="00C13C60" w:rsidP="009D08D6" w:rsidRDefault="00C13C60" w14:paraId="70E39D74" w14:textId="6A30E3D3">
      <w:pPr>
        <w:shd w:val="clear" w:color="auto" w:fill="FFFFFF" w:themeFill="background1"/>
        <w:spacing w:after="0" w:line="240" w:lineRule="auto"/>
        <w:jc w:val="center"/>
        <w:rPr>
          <w:rFonts w:cs="Times New Roman"/>
          <w:b/>
          <w:bCs/>
        </w:rPr>
      </w:pPr>
      <w:r w:rsidRPr="009D08D6">
        <w:rPr>
          <w:rFonts w:cs="Times New Roman"/>
          <w:b/>
          <w:bCs/>
        </w:rPr>
        <w:t>City of New Orleans</w:t>
      </w:r>
    </w:p>
    <w:p w:rsidRPr="009D08D6" w:rsidR="004E3B85" w:rsidP="004E3B85" w:rsidRDefault="004E3B85" w14:paraId="611C713A" w14:textId="77777777">
      <w:pPr>
        <w:shd w:val="clear" w:color="auto" w:fill="FFFFFF" w:themeFill="background1"/>
        <w:jc w:val="both"/>
        <w:rPr>
          <w:rFonts w:cs="Times New Roman"/>
          <w:b/>
          <w:bCs/>
        </w:rPr>
      </w:pPr>
    </w:p>
    <w:p w:rsidRPr="009D08D6" w:rsidR="004E3B85" w:rsidP="004E3B85" w:rsidRDefault="004E3B85" w14:paraId="195A48BF" w14:textId="77777777">
      <w:pPr>
        <w:shd w:val="clear" w:color="auto" w:fill="FFFFFF" w:themeFill="background1"/>
        <w:jc w:val="both"/>
        <w:rPr>
          <w:rFonts w:cs="Times New Roman"/>
          <w:b/>
          <w:bCs/>
        </w:rPr>
      </w:pPr>
    </w:p>
    <w:p w:rsidRPr="009D08D6" w:rsidR="00C13C60" w:rsidP="004E3B85" w:rsidRDefault="00C13C60" w14:paraId="1C3E043B" w14:textId="77777777">
      <w:pPr>
        <w:shd w:val="clear" w:color="auto" w:fill="FFFFFF" w:themeFill="background1"/>
        <w:jc w:val="both"/>
        <w:rPr>
          <w:rFonts w:cs="Times New Roman"/>
          <w:b/>
          <w:bCs/>
        </w:rPr>
      </w:pPr>
    </w:p>
    <w:p w:rsidRPr="009D08D6" w:rsidR="00C13C60" w:rsidP="00C13C60" w:rsidRDefault="00C13C60" w14:paraId="43840F0A" w14:textId="08CC9FD8">
      <w:pPr>
        <w:shd w:val="clear" w:color="auto" w:fill="FFFFFF" w:themeFill="background1"/>
        <w:jc w:val="center"/>
        <w:rPr>
          <w:rFonts w:cs="Times New Roman"/>
          <w:b/>
          <w:bCs/>
        </w:rPr>
      </w:pPr>
      <w:r w:rsidRPr="009D08D6">
        <w:rPr>
          <w:rFonts w:cs="Times New Roman"/>
          <w:b/>
          <w:bCs/>
        </w:rPr>
        <w:t>Utility Re</w:t>
      </w:r>
      <w:r w:rsidR="00B31AB5">
        <w:rPr>
          <w:rFonts w:cs="Times New Roman"/>
          <w:b/>
          <w:bCs/>
        </w:rPr>
        <w:t xml:space="preserve">gulatory </w:t>
      </w:r>
      <w:r w:rsidRPr="009D08D6">
        <w:rPr>
          <w:rFonts w:cs="Times New Roman"/>
          <w:b/>
          <w:bCs/>
        </w:rPr>
        <w:t>Manual</w:t>
      </w:r>
    </w:p>
    <w:p w:rsidR="00C13C60" w:rsidP="00C13C60" w:rsidRDefault="00C13C60" w14:paraId="22F75E92" w14:textId="77777777">
      <w:pPr>
        <w:shd w:val="clear" w:color="auto" w:fill="FFFFFF" w:themeFill="background1"/>
        <w:jc w:val="center"/>
        <w:rPr>
          <w:rFonts w:cs="Times New Roman"/>
        </w:rPr>
      </w:pPr>
    </w:p>
    <w:p w:rsidR="00C13C60" w:rsidP="00C13C60" w:rsidRDefault="00C13C60" w14:paraId="11E7C266" w14:textId="77777777">
      <w:pPr>
        <w:shd w:val="clear" w:color="auto" w:fill="FFFFFF" w:themeFill="background1"/>
        <w:jc w:val="center"/>
        <w:rPr>
          <w:rFonts w:cs="Times New Roman"/>
        </w:rPr>
      </w:pPr>
    </w:p>
    <w:p w:rsidR="00C13C60" w:rsidP="00C13C60" w:rsidRDefault="00C13C60" w14:paraId="4D572273" w14:textId="77777777">
      <w:pPr>
        <w:shd w:val="clear" w:color="auto" w:fill="FFFFFF" w:themeFill="background1"/>
        <w:jc w:val="center"/>
        <w:rPr>
          <w:rFonts w:cs="Times New Roman"/>
        </w:rPr>
      </w:pPr>
    </w:p>
    <w:p w:rsidR="00C13C60" w:rsidP="00C13C60" w:rsidRDefault="00C13C60" w14:paraId="45A61534" w14:textId="77777777">
      <w:pPr>
        <w:shd w:val="clear" w:color="auto" w:fill="FFFFFF" w:themeFill="background1"/>
        <w:jc w:val="center"/>
        <w:rPr>
          <w:rFonts w:cs="Times New Roman"/>
        </w:rPr>
      </w:pPr>
    </w:p>
    <w:p w:rsidR="00C13C60" w:rsidP="009D08D6" w:rsidRDefault="00C13C60" w14:paraId="72AC9B64" w14:textId="1F2A6724">
      <w:pPr>
        <w:shd w:val="clear" w:color="auto" w:fill="FFFFFF" w:themeFill="background1"/>
        <w:spacing w:after="0" w:line="240" w:lineRule="auto"/>
        <w:jc w:val="right"/>
        <w:rPr>
          <w:rFonts w:cs="Times New Roman"/>
        </w:rPr>
      </w:pPr>
      <w:r>
        <w:rPr>
          <w:rFonts w:cs="Times New Roman"/>
        </w:rPr>
        <w:t>Version ____</w:t>
      </w:r>
    </w:p>
    <w:p w:rsidR="00C13C60" w:rsidP="009D08D6" w:rsidRDefault="00C13C60" w14:paraId="1B78D10E" w14:textId="7445CC4C">
      <w:pPr>
        <w:shd w:val="clear" w:color="auto" w:fill="FFFFFF" w:themeFill="background1"/>
        <w:spacing w:after="0" w:line="240" w:lineRule="auto"/>
        <w:jc w:val="right"/>
        <w:rPr>
          <w:rFonts w:cs="Times New Roman"/>
        </w:rPr>
      </w:pPr>
      <w:r>
        <w:rPr>
          <w:rFonts w:cs="Times New Roman"/>
        </w:rPr>
        <w:t>Adopted by Resolution No. R-25- ____</w:t>
      </w:r>
    </w:p>
    <w:p w:rsidR="00C13C60" w:rsidP="009D08D6" w:rsidRDefault="00C13C60" w14:paraId="6AE332DA" w14:textId="0C3AFA36">
      <w:pPr>
        <w:shd w:val="clear" w:color="auto" w:fill="FFFFFF" w:themeFill="background1"/>
        <w:spacing w:after="0" w:line="240" w:lineRule="auto"/>
        <w:jc w:val="right"/>
        <w:rPr>
          <w:rFonts w:cs="Times New Roman"/>
        </w:rPr>
      </w:pPr>
      <w:r>
        <w:rPr>
          <w:rFonts w:cs="Times New Roman"/>
        </w:rPr>
        <w:t>Current as of _______, 2025</w:t>
      </w:r>
    </w:p>
    <w:p w:rsidR="00C13C60" w:rsidP="004E3B85" w:rsidRDefault="00C13C60" w14:paraId="2C90ED5E" w14:textId="77777777">
      <w:pPr>
        <w:shd w:val="clear" w:color="auto" w:fill="FFFFFF" w:themeFill="background1"/>
        <w:jc w:val="both"/>
        <w:rPr>
          <w:rFonts w:cs="Times New Roman"/>
        </w:rPr>
      </w:pPr>
    </w:p>
    <w:p w:rsidRPr="003A1409" w:rsidR="004E3B85" w:rsidP="009D08D6" w:rsidRDefault="004E3B85" w14:paraId="4D02DD56" w14:textId="77777777">
      <w:pPr>
        <w:shd w:val="clear" w:color="auto" w:fill="FFFFFF" w:themeFill="background1"/>
        <w:jc w:val="both"/>
        <w:rPr>
          <w:rFonts w:cs="Times New Roman"/>
        </w:rPr>
        <w:sectPr w:rsidRPr="003A1409" w:rsidR="004E3B85" w:rsidSect="008C20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left w:val="single" w:color="auto" w:sz="4" w:space="24"/>
          </w:pgBorders>
          <w:cols w:space="720"/>
          <w:docGrid w:linePitch="360"/>
        </w:sectPr>
      </w:pPr>
    </w:p>
    <w:p w:rsidR="004E3B85" w:rsidP="00EC6E61" w:rsidRDefault="004E3B85" w14:paraId="032A7E62" w14:textId="77777777">
      <w:pPr>
        <w:shd w:val="clear" w:color="auto" w:fill="FFFFFF" w:themeFill="background1"/>
        <w:jc w:val="both"/>
        <w:rPr>
          <w:rFonts w:cs="Times New Roman"/>
        </w:rPr>
      </w:pPr>
    </w:p>
    <w:sdt>
      <w:sdtPr>
        <w:rPr>
          <w:rFonts w:ascii="Times New Roman" w:hAnsi="Times New Roman" w:eastAsiaTheme="minorHAnsi" w:cstheme="minorBidi"/>
          <w:b/>
          <w:bCs/>
          <w:color w:val="auto"/>
          <w:kern w:val="2"/>
          <w:sz w:val="24"/>
          <w:szCs w:val="24"/>
          <w14:ligatures w14:val="standardContextual"/>
        </w:rPr>
        <w:id w:val="425239654"/>
        <w:docPartObj>
          <w:docPartGallery w:val="Table of Contents"/>
          <w:docPartUnique/>
        </w:docPartObj>
      </w:sdtPr>
      <w:sdtEndPr>
        <w:rPr>
          <w:noProof/>
        </w:rPr>
      </w:sdtEndPr>
      <w:sdtContent>
        <w:p w:rsidRPr="009D08D6" w:rsidR="000379DD" w:rsidP="009D08D6" w:rsidRDefault="000379DD" w14:paraId="574BCE50" w14:textId="1C6292F5">
          <w:pPr>
            <w:pStyle w:val="TOCHeading"/>
            <w:spacing w:after="240"/>
            <w:jc w:val="center"/>
            <w:rPr>
              <w:rFonts w:ascii="Times New Roman" w:hAnsi="Times New Roman" w:cs="Times New Roman"/>
              <w:b/>
              <w:bCs/>
              <w:sz w:val="24"/>
              <w:szCs w:val="24"/>
            </w:rPr>
          </w:pPr>
          <w:r w:rsidRPr="009D08D6">
            <w:rPr>
              <w:rFonts w:ascii="Times New Roman" w:hAnsi="Times New Roman" w:cs="Times New Roman"/>
              <w:b/>
              <w:bCs/>
              <w:sz w:val="24"/>
              <w:szCs w:val="24"/>
            </w:rPr>
            <w:t>Table of Contents</w:t>
          </w:r>
        </w:p>
        <w:p w:rsidR="00C6306C" w:rsidRDefault="000379DD" w14:paraId="4DA4ACD0" w14:textId="7D53FAB5">
          <w:pPr>
            <w:pStyle w:val="TOC1"/>
            <w:tabs>
              <w:tab w:val="right" w:leader="dot" w:pos="9350"/>
            </w:tabs>
            <w:rPr>
              <w:rFonts w:asciiTheme="minorHAnsi" w:hAnsiTheme="minorHAnsi" w:eastAsiaTheme="minorEastAsia"/>
              <w:noProof/>
            </w:rPr>
          </w:pPr>
          <w:r>
            <w:fldChar w:fldCharType="begin"/>
          </w:r>
          <w:r>
            <w:instrText xml:space="preserve"> TOC \o "1-3" \h \z \u </w:instrText>
          </w:r>
          <w:r>
            <w:fldChar w:fldCharType="separate"/>
          </w:r>
          <w:hyperlink w:history="1" w:anchor="_Toc205560093">
            <w:r w:rsidRPr="002A5F13" w:rsidR="00C6306C">
              <w:rPr>
                <w:rStyle w:val="Hyperlink"/>
                <w:noProof/>
              </w:rPr>
              <w:t>URM Division I.  New Orleans City Council Utility Regulatory  Manual (“URM”).</w:t>
            </w:r>
            <w:r w:rsidR="00C6306C">
              <w:rPr>
                <w:noProof/>
                <w:webHidden/>
              </w:rPr>
              <w:tab/>
            </w:r>
            <w:r w:rsidR="00C6306C">
              <w:rPr>
                <w:noProof/>
                <w:webHidden/>
              </w:rPr>
              <w:fldChar w:fldCharType="begin"/>
            </w:r>
            <w:r w:rsidR="00C6306C">
              <w:rPr>
                <w:noProof/>
                <w:webHidden/>
              </w:rPr>
              <w:instrText xml:space="preserve"> PAGEREF _Toc205560093 \h </w:instrText>
            </w:r>
            <w:r w:rsidR="00C6306C">
              <w:rPr>
                <w:noProof/>
                <w:webHidden/>
              </w:rPr>
            </w:r>
            <w:r w:rsidR="00C6306C">
              <w:rPr>
                <w:noProof/>
                <w:webHidden/>
              </w:rPr>
              <w:fldChar w:fldCharType="separate"/>
            </w:r>
            <w:r w:rsidR="00910935">
              <w:rPr>
                <w:noProof/>
                <w:webHidden/>
              </w:rPr>
              <w:t>3</w:t>
            </w:r>
            <w:r w:rsidR="00C6306C">
              <w:rPr>
                <w:noProof/>
                <w:webHidden/>
              </w:rPr>
              <w:fldChar w:fldCharType="end"/>
            </w:r>
          </w:hyperlink>
        </w:p>
        <w:p w:rsidR="00C6306C" w:rsidRDefault="00C6306C" w14:paraId="4186854C" w14:textId="22CA2831">
          <w:pPr>
            <w:pStyle w:val="TOC2"/>
            <w:tabs>
              <w:tab w:val="left" w:pos="1680"/>
              <w:tab w:val="right" w:leader="dot" w:pos="9350"/>
            </w:tabs>
            <w:rPr>
              <w:rFonts w:asciiTheme="minorHAnsi" w:hAnsiTheme="minorHAnsi" w:eastAsiaTheme="minorEastAsia"/>
              <w:noProof/>
            </w:rPr>
          </w:pPr>
          <w:hyperlink w:history="1" w:anchor="_Toc205560094">
            <w:r w:rsidRPr="002A5F13">
              <w:rPr>
                <w:rStyle w:val="Hyperlink"/>
                <w:noProof/>
              </w:rPr>
              <w:t>Section 1.</w:t>
            </w:r>
            <w:r>
              <w:rPr>
                <w:rFonts w:asciiTheme="minorHAnsi" w:hAnsiTheme="minorHAnsi" w:eastAsiaTheme="minorEastAsia"/>
                <w:noProof/>
              </w:rPr>
              <w:tab/>
            </w:r>
            <w:r w:rsidRPr="002A5F13">
              <w:rPr>
                <w:rStyle w:val="Hyperlink"/>
                <w:noProof/>
              </w:rPr>
              <w:t>Purpose.</w:t>
            </w:r>
            <w:r>
              <w:rPr>
                <w:noProof/>
                <w:webHidden/>
              </w:rPr>
              <w:tab/>
            </w:r>
            <w:r>
              <w:rPr>
                <w:noProof/>
                <w:webHidden/>
              </w:rPr>
              <w:fldChar w:fldCharType="begin"/>
            </w:r>
            <w:r>
              <w:rPr>
                <w:noProof/>
                <w:webHidden/>
              </w:rPr>
              <w:instrText xml:space="preserve"> PAGEREF _Toc205560094 \h </w:instrText>
            </w:r>
            <w:r>
              <w:rPr>
                <w:noProof/>
                <w:webHidden/>
              </w:rPr>
            </w:r>
            <w:r>
              <w:rPr>
                <w:noProof/>
                <w:webHidden/>
              </w:rPr>
              <w:fldChar w:fldCharType="separate"/>
            </w:r>
            <w:r w:rsidR="00910935">
              <w:rPr>
                <w:noProof/>
                <w:webHidden/>
              </w:rPr>
              <w:t>3</w:t>
            </w:r>
            <w:r>
              <w:rPr>
                <w:noProof/>
                <w:webHidden/>
              </w:rPr>
              <w:fldChar w:fldCharType="end"/>
            </w:r>
          </w:hyperlink>
        </w:p>
        <w:p w:rsidR="00C6306C" w:rsidRDefault="00C6306C" w14:paraId="60B4975D" w14:textId="5998A29F">
          <w:pPr>
            <w:pStyle w:val="TOC2"/>
            <w:tabs>
              <w:tab w:val="left" w:pos="1680"/>
              <w:tab w:val="right" w:leader="dot" w:pos="9350"/>
            </w:tabs>
            <w:rPr>
              <w:rFonts w:asciiTheme="minorHAnsi" w:hAnsiTheme="minorHAnsi" w:eastAsiaTheme="minorEastAsia"/>
              <w:noProof/>
            </w:rPr>
          </w:pPr>
          <w:hyperlink w:history="1" w:anchor="_Toc205560095">
            <w:r w:rsidRPr="002A5F13">
              <w:rPr>
                <w:rStyle w:val="Hyperlink"/>
                <w:noProof/>
              </w:rPr>
              <w:t>Section 2.</w:t>
            </w:r>
            <w:r>
              <w:rPr>
                <w:rFonts w:asciiTheme="minorHAnsi" w:hAnsiTheme="minorHAnsi" w:eastAsiaTheme="minorEastAsia"/>
                <w:noProof/>
              </w:rPr>
              <w:tab/>
            </w:r>
            <w:r w:rsidRPr="002A5F13">
              <w:rPr>
                <w:rStyle w:val="Hyperlink"/>
                <w:noProof/>
              </w:rPr>
              <w:t>Applicability.</w:t>
            </w:r>
            <w:r>
              <w:rPr>
                <w:noProof/>
                <w:webHidden/>
              </w:rPr>
              <w:tab/>
            </w:r>
            <w:r>
              <w:rPr>
                <w:noProof/>
                <w:webHidden/>
              </w:rPr>
              <w:fldChar w:fldCharType="begin"/>
            </w:r>
            <w:r>
              <w:rPr>
                <w:noProof/>
                <w:webHidden/>
              </w:rPr>
              <w:instrText xml:space="preserve"> PAGEREF _Toc205560095 \h </w:instrText>
            </w:r>
            <w:r>
              <w:rPr>
                <w:noProof/>
                <w:webHidden/>
              </w:rPr>
            </w:r>
            <w:r>
              <w:rPr>
                <w:noProof/>
                <w:webHidden/>
              </w:rPr>
              <w:fldChar w:fldCharType="separate"/>
            </w:r>
            <w:r w:rsidR="00910935">
              <w:rPr>
                <w:noProof/>
                <w:webHidden/>
              </w:rPr>
              <w:t>3</w:t>
            </w:r>
            <w:r>
              <w:rPr>
                <w:noProof/>
                <w:webHidden/>
              </w:rPr>
              <w:fldChar w:fldCharType="end"/>
            </w:r>
          </w:hyperlink>
        </w:p>
        <w:p w:rsidR="00C6306C" w:rsidRDefault="00C6306C" w14:paraId="0B1FB410" w14:textId="0F88878C">
          <w:pPr>
            <w:pStyle w:val="TOC2"/>
            <w:tabs>
              <w:tab w:val="left" w:pos="1680"/>
              <w:tab w:val="right" w:leader="dot" w:pos="9350"/>
            </w:tabs>
            <w:rPr>
              <w:rFonts w:asciiTheme="minorHAnsi" w:hAnsiTheme="minorHAnsi" w:eastAsiaTheme="minorEastAsia"/>
              <w:noProof/>
            </w:rPr>
          </w:pPr>
          <w:hyperlink w:history="1" w:anchor="_Toc205560096">
            <w:r w:rsidRPr="002A5F13">
              <w:rPr>
                <w:rStyle w:val="Hyperlink"/>
                <w:noProof/>
              </w:rPr>
              <w:t>Section 3.</w:t>
            </w:r>
            <w:r>
              <w:rPr>
                <w:rFonts w:asciiTheme="minorHAnsi" w:hAnsiTheme="minorHAnsi" w:eastAsiaTheme="minorEastAsia"/>
                <w:noProof/>
              </w:rPr>
              <w:tab/>
            </w:r>
            <w:r w:rsidRPr="002A5F13">
              <w:rPr>
                <w:rStyle w:val="Hyperlink"/>
                <w:noProof/>
              </w:rPr>
              <w:t>Citation.</w:t>
            </w:r>
            <w:r>
              <w:rPr>
                <w:noProof/>
                <w:webHidden/>
              </w:rPr>
              <w:tab/>
            </w:r>
            <w:r>
              <w:rPr>
                <w:noProof/>
                <w:webHidden/>
              </w:rPr>
              <w:fldChar w:fldCharType="begin"/>
            </w:r>
            <w:r>
              <w:rPr>
                <w:noProof/>
                <w:webHidden/>
              </w:rPr>
              <w:instrText xml:space="preserve"> PAGEREF _Toc205560096 \h </w:instrText>
            </w:r>
            <w:r>
              <w:rPr>
                <w:noProof/>
                <w:webHidden/>
              </w:rPr>
            </w:r>
            <w:r>
              <w:rPr>
                <w:noProof/>
                <w:webHidden/>
              </w:rPr>
              <w:fldChar w:fldCharType="separate"/>
            </w:r>
            <w:r w:rsidR="00910935">
              <w:rPr>
                <w:noProof/>
                <w:webHidden/>
              </w:rPr>
              <w:t>3</w:t>
            </w:r>
            <w:r>
              <w:rPr>
                <w:noProof/>
                <w:webHidden/>
              </w:rPr>
              <w:fldChar w:fldCharType="end"/>
            </w:r>
          </w:hyperlink>
        </w:p>
        <w:p w:rsidR="00C6306C" w:rsidRDefault="00C6306C" w14:paraId="5A4B8528" w14:textId="4E7C8095">
          <w:pPr>
            <w:pStyle w:val="TOC2"/>
            <w:tabs>
              <w:tab w:val="left" w:pos="1680"/>
              <w:tab w:val="right" w:leader="dot" w:pos="9350"/>
            </w:tabs>
            <w:rPr>
              <w:noProof/>
            </w:rPr>
          </w:pPr>
          <w:hyperlink w:history="1" w:anchor="_Toc205560097">
            <w:r w:rsidRPr="002A5F13">
              <w:rPr>
                <w:rStyle w:val="Hyperlink"/>
                <w:noProof/>
              </w:rPr>
              <w:t>Section 4.</w:t>
            </w:r>
            <w:r>
              <w:rPr>
                <w:rFonts w:asciiTheme="minorHAnsi" w:hAnsiTheme="minorHAnsi" w:eastAsiaTheme="minorEastAsia"/>
                <w:noProof/>
              </w:rPr>
              <w:tab/>
            </w:r>
            <w:r w:rsidRPr="002A5F13">
              <w:rPr>
                <w:rStyle w:val="Hyperlink"/>
                <w:noProof/>
              </w:rPr>
              <w:t>Definitions.</w:t>
            </w:r>
            <w:r>
              <w:rPr>
                <w:noProof/>
                <w:webHidden/>
              </w:rPr>
              <w:tab/>
            </w:r>
            <w:r>
              <w:rPr>
                <w:noProof/>
                <w:webHidden/>
              </w:rPr>
              <w:fldChar w:fldCharType="begin"/>
            </w:r>
            <w:r>
              <w:rPr>
                <w:noProof/>
                <w:webHidden/>
              </w:rPr>
              <w:instrText xml:space="preserve"> PAGEREF _Toc205560097 \h </w:instrText>
            </w:r>
            <w:r>
              <w:rPr>
                <w:noProof/>
                <w:webHidden/>
              </w:rPr>
            </w:r>
            <w:r>
              <w:rPr>
                <w:noProof/>
                <w:webHidden/>
              </w:rPr>
              <w:fldChar w:fldCharType="separate"/>
            </w:r>
            <w:r w:rsidR="00910935">
              <w:rPr>
                <w:noProof/>
                <w:webHidden/>
              </w:rPr>
              <w:t>3</w:t>
            </w:r>
            <w:r>
              <w:rPr>
                <w:noProof/>
                <w:webHidden/>
              </w:rPr>
              <w:fldChar w:fldCharType="end"/>
            </w:r>
          </w:hyperlink>
        </w:p>
        <w:p w:rsidR="00B31AB5" w:rsidP="00B31AB5" w:rsidRDefault="00B31AB5" w14:paraId="0558CA95" w14:textId="7E56331B">
          <w:pPr>
            <w:rPr>
              <w:noProof/>
            </w:rPr>
          </w:pPr>
          <w:r>
            <w:rPr>
              <w:noProof/>
            </w:rPr>
            <w:t>URM Division II. Customer Service Regulations ………………………………………………..4</w:t>
          </w:r>
        </w:p>
        <w:p w:rsidRPr="00B31AB5" w:rsidR="00B31AB5" w:rsidP="00B31AB5" w:rsidRDefault="00B31AB5" w14:paraId="5792CBE9" w14:textId="4E40B797">
          <w:pPr>
            <w:rPr>
              <w:noProof/>
            </w:rPr>
          </w:pPr>
          <w:r>
            <w:rPr>
              <w:noProof/>
            </w:rPr>
            <w:t xml:space="preserve">   Section 1. General ………………………………………………………………………………4</w:t>
          </w:r>
        </w:p>
        <w:p w:rsidR="00C6306C" w:rsidRDefault="00C6306C" w14:paraId="1E4023FA" w14:textId="10013901">
          <w:pPr>
            <w:pStyle w:val="TOC1"/>
            <w:tabs>
              <w:tab w:val="right" w:leader="dot" w:pos="9350"/>
            </w:tabs>
            <w:rPr>
              <w:rFonts w:asciiTheme="minorHAnsi" w:hAnsiTheme="minorHAnsi" w:eastAsiaTheme="minorEastAsia"/>
              <w:noProof/>
            </w:rPr>
          </w:pPr>
          <w:hyperlink w:history="1" w:anchor="_Toc205560098">
            <w:r w:rsidRPr="002A5F13">
              <w:rPr>
                <w:rStyle w:val="Hyperlink"/>
                <w:noProof/>
              </w:rPr>
              <w:t>URM</w:t>
            </w:r>
            <w:r w:rsidRPr="002A5F13">
              <w:rPr>
                <w:rStyle w:val="Hyperlink"/>
                <w:rFonts w:cs="Times New Roman"/>
                <w:bCs/>
                <w:noProof/>
              </w:rPr>
              <w:t xml:space="preserve"> Division II</w:t>
            </w:r>
            <w:r w:rsidR="00B31AB5">
              <w:rPr>
                <w:rStyle w:val="Hyperlink"/>
                <w:rFonts w:cs="Times New Roman"/>
                <w:bCs/>
                <w:noProof/>
              </w:rPr>
              <w:t>I</w:t>
            </w:r>
            <w:r w:rsidRPr="002A5F13">
              <w:rPr>
                <w:rStyle w:val="Hyperlink"/>
                <w:rFonts w:cs="Times New Roman"/>
                <w:bCs/>
                <w:noProof/>
              </w:rPr>
              <w:t xml:space="preserve">. </w:t>
            </w:r>
            <w:r w:rsidRPr="002A5F13">
              <w:rPr>
                <w:rStyle w:val="Hyperlink"/>
                <w:rFonts w:cs="Times New Roman"/>
                <w:bCs/>
                <w:i/>
                <w:iCs/>
                <w:noProof/>
              </w:rPr>
              <w:t xml:space="preserve"> </w:t>
            </w:r>
            <w:r w:rsidRPr="002A5F13">
              <w:rPr>
                <w:rStyle w:val="Hyperlink"/>
                <w:rFonts w:cs="Times New Roman"/>
                <w:bCs/>
                <w:noProof/>
              </w:rPr>
              <w:t>Regulatory Procedures and Filing Requirements</w:t>
            </w:r>
            <w:r w:rsidRPr="002A5F13">
              <w:rPr>
                <w:rStyle w:val="Hyperlink"/>
                <w:rFonts w:cs="Times New Roman"/>
                <w:noProof/>
              </w:rPr>
              <w:t>.</w:t>
            </w:r>
            <w:r>
              <w:rPr>
                <w:noProof/>
                <w:webHidden/>
              </w:rPr>
              <w:tab/>
            </w:r>
            <w:r>
              <w:rPr>
                <w:noProof/>
                <w:webHidden/>
              </w:rPr>
              <w:fldChar w:fldCharType="begin"/>
            </w:r>
            <w:r>
              <w:rPr>
                <w:noProof/>
                <w:webHidden/>
              </w:rPr>
              <w:instrText xml:space="preserve"> PAGEREF _Toc205560098 \h </w:instrText>
            </w:r>
            <w:r>
              <w:rPr>
                <w:noProof/>
                <w:webHidden/>
              </w:rPr>
            </w:r>
            <w:r>
              <w:rPr>
                <w:noProof/>
                <w:webHidden/>
              </w:rPr>
              <w:fldChar w:fldCharType="separate"/>
            </w:r>
            <w:r w:rsidR="00910935">
              <w:rPr>
                <w:noProof/>
                <w:webHidden/>
              </w:rPr>
              <w:t>4</w:t>
            </w:r>
            <w:r>
              <w:rPr>
                <w:noProof/>
                <w:webHidden/>
              </w:rPr>
              <w:fldChar w:fldCharType="end"/>
            </w:r>
          </w:hyperlink>
        </w:p>
        <w:p w:rsidR="00C6306C" w:rsidRDefault="00C6306C" w14:paraId="1DB0FC7F" w14:textId="62160FAE">
          <w:pPr>
            <w:pStyle w:val="TOC2"/>
            <w:tabs>
              <w:tab w:val="left" w:pos="1680"/>
              <w:tab w:val="right" w:leader="dot" w:pos="9350"/>
            </w:tabs>
            <w:rPr>
              <w:rFonts w:asciiTheme="minorHAnsi" w:hAnsiTheme="minorHAnsi" w:eastAsiaTheme="minorEastAsia"/>
              <w:noProof/>
            </w:rPr>
          </w:pPr>
          <w:hyperlink w:history="1" w:anchor="_Toc205560099">
            <w:r w:rsidRPr="002A5F13">
              <w:rPr>
                <w:rStyle w:val="Hyperlink"/>
                <w:noProof/>
              </w:rPr>
              <w:t>Section 1.</w:t>
            </w:r>
            <w:r>
              <w:rPr>
                <w:rFonts w:asciiTheme="minorHAnsi" w:hAnsiTheme="minorHAnsi" w:eastAsiaTheme="minorEastAsia"/>
                <w:noProof/>
              </w:rPr>
              <w:tab/>
            </w:r>
            <w:r w:rsidRPr="002A5F13">
              <w:rPr>
                <w:rStyle w:val="Hyperlink"/>
                <w:noProof/>
              </w:rPr>
              <w:t>General</w:t>
            </w:r>
            <w:r>
              <w:rPr>
                <w:noProof/>
                <w:webHidden/>
              </w:rPr>
              <w:tab/>
            </w:r>
            <w:r>
              <w:rPr>
                <w:noProof/>
                <w:webHidden/>
              </w:rPr>
              <w:fldChar w:fldCharType="begin"/>
            </w:r>
            <w:r>
              <w:rPr>
                <w:noProof/>
                <w:webHidden/>
              </w:rPr>
              <w:instrText xml:space="preserve"> PAGEREF _Toc205560099 \h </w:instrText>
            </w:r>
            <w:r>
              <w:rPr>
                <w:noProof/>
                <w:webHidden/>
              </w:rPr>
            </w:r>
            <w:r>
              <w:rPr>
                <w:noProof/>
                <w:webHidden/>
              </w:rPr>
              <w:fldChar w:fldCharType="separate"/>
            </w:r>
            <w:r w:rsidR="00910935">
              <w:rPr>
                <w:noProof/>
                <w:webHidden/>
              </w:rPr>
              <w:t>4</w:t>
            </w:r>
            <w:r>
              <w:rPr>
                <w:noProof/>
                <w:webHidden/>
              </w:rPr>
              <w:fldChar w:fldCharType="end"/>
            </w:r>
          </w:hyperlink>
        </w:p>
        <w:p w:rsidR="00C6306C" w:rsidRDefault="00C6306C" w14:paraId="29D36356" w14:textId="56B9B265">
          <w:pPr>
            <w:pStyle w:val="TOC2"/>
            <w:tabs>
              <w:tab w:val="left" w:pos="1680"/>
              <w:tab w:val="right" w:leader="dot" w:pos="9350"/>
            </w:tabs>
            <w:rPr>
              <w:rFonts w:asciiTheme="minorHAnsi" w:hAnsiTheme="minorHAnsi" w:eastAsiaTheme="minorEastAsia"/>
              <w:noProof/>
            </w:rPr>
          </w:pPr>
          <w:hyperlink w:history="1" w:anchor="_Toc205560100">
            <w:r w:rsidRPr="002A5F13">
              <w:rPr>
                <w:rStyle w:val="Hyperlink"/>
                <w:noProof/>
              </w:rPr>
              <w:t>Section 2.</w:t>
            </w:r>
            <w:r>
              <w:rPr>
                <w:rFonts w:asciiTheme="minorHAnsi" w:hAnsiTheme="minorHAnsi" w:eastAsiaTheme="minorEastAsia"/>
                <w:noProof/>
              </w:rPr>
              <w:tab/>
            </w:r>
            <w:r w:rsidRPr="002A5F13">
              <w:rPr>
                <w:rStyle w:val="Hyperlink"/>
                <w:noProof/>
              </w:rPr>
              <w:t>Required content of filings.</w:t>
            </w:r>
            <w:r>
              <w:rPr>
                <w:noProof/>
                <w:webHidden/>
              </w:rPr>
              <w:tab/>
            </w:r>
            <w:r>
              <w:rPr>
                <w:noProof/>
                <w:webHidden/>
              </w:rPr>
              <w:fldChar w:fldCharType="begin"/>
            </w:r>
            <w:r>
              <w:rPr>
                <w:noProof/>
                <w:webHidden/>
              </w:rPr>
              <w:instrText xml:space="preserve"> PAGEREF _Toc205560100 \h </w:instrText>
            </w:r>
            <w:r>
              <w:rPr>
                <w:noProof/>
                <w:webHidden/>
              </w:rPr>
            </w:r>
            <w:r>
              <w:rPr>
                <w:noProof/>
                <w:webHidden/>
              </w:rPr>
              <w:fldChar w:fldCharType="separate"/>
            </w:r>
            <w:r w:rsidR="00910935">
              <w:rPr>
                <w:noProof/>
                <w:webHidden/>
              </w:rPr>
              <w:t>4</w:t>
            </w:r>
            <w:r>
              <w:rPr>
                <w:noProof/>
                <w:webHidden/>
              </w:rPr>
              <w:fldChar w:fldCharType="end"/>
            </w:r>
          </w:hyperlink>
        </w:p>
        <w:p w:rsidR="00C6306C" w:rsidRDefault="00C6306C" w14:paraId="2D96B3DC" w14:textId="654E791A">
          <w:pPr>
            <w:pStyle w:val="TOC2"/>
            <w:tabs>
              <w:tab w:val="left" w:pos="1680"/>
              <w:tab w:val="right" w:leader="dot" w:pos="9350"/>
            </w:tabs>
            <w:rPr>
              <w:rFonts w:asciiTheme="minorHAnsi" w:hAnsiTheme="minorHAnsi" w:eastAsiaTheme="minorEastAsia"/>
              <w:noProof/>
            </w:rPr>
          </w:pPr>
          <w:hyperlink w:history="1" w:anchor="_Toc205560101">
            <w:r w:rsidRPr="002A5F13">
              <w:rPr>
                <w:rStyle w:val="Hyperlink"/>
                <w:noProof/>
              </w:rPr>
              <w:t>Section 3.</w:t>
            </w:r>
            <w:r>
              <w:rPr>
                <w:rFonts w:asciiTheme="minorHAnsi" w:hAnsiTheme="minorHAnsi" w:eastAsiaTheme="minorEastAsia"/>
                <w:noProof/>
              </w:rPr>
              <w:tab/>
            </w:r>
            <w:r w:rsidRPr="002A5F13">
              <w:rPr>
                <w:rStyle w:val="Hyperlink"/>
                <w:noProof/>
              </w:rPr>
              <w:t>Required format of filings.</w:t>
            </w:r>
            <w:r>
              <w:rPr>
                <w:noProof/>
                <w:webHidden/>
              </w:rPr>
              <w:tab/>
            </w:r>
            <w:r>
              <w:rPr>
                <w:noProof/>
                <w:webHidden/>
              </w:rPr>
              <w:fldChar w:fldCharType="begin"/>
            </w:r>
            <w:r>
              <w:rPr>
                <w:noProof/>
                <w:webHidden/>
              </w:rPr>
              <w:instrText xml:space="preserve"> PAGEREF _Toc205560101 \h </w:instrText>
            </w:r>
            <w:r>
              <w:rPr>
                <w:noProof/>
                <w:webHidden/>
              </w:rPr>
            </w:r>
            <w:r>
              <w:rPr>
                <w:noProof/>
                <w:webHidden/>
              </w:rPr>
              <w:fldChar w:fldCharType="separate"/>
            </w:r>
            <w:r w:rsidR="00910935">
              <w:rPr>
                <w:noProof/>
                <w:webHidden/>
              </w:rPr>
              <w:t>5</w:t>
            </w:r>
            <w:r>
              <w:rPr>
                <w:noProof/>
                <w:webHidden/>
              </w:rPr>
              <w:fldChar w:fldCharType="end"/>
            </w:r>
          </w:hyperlink>
        </w:p>
        <w:p w:rsidR="00C6306C" w:rsidRDefault="00C6306C" w14:paraId="097EBBB1" w14:textId="7D57D06A">
          <w:pPr>
            <w:pStyle w:val="TOC2"/>
            <w:tabs>
              <w:tab w:val="left" w:pos="1440"/>
              <w:tab w:val="right" w:leader="dot" w:pos="9350"/>
            </w:tabs>
            <w:rPr>
              <w:rFonts w:asciiTheme="minorHAnsi" w:hAnsiTheme="minorHAnsi" w:eastAsiaTheme="minorEastAsia"/>
              <w:noProof/>
            </w:rPr>
          </w:pPr>
          <w:hyperlink w:history="1" w:anchor="_Toc205560102">
            <w:r w:rsidRPr="002A5F13">
              <w:rPr>
                <w:rStyle w:val="Hyperlink"/>
                <w:noProof/>
              </w:rPr>
              <w:t>Section 4</w:t>
            </w:r>
            <w:r>
              <w:rPr>
                <w:rFonts w:asciiTheme="minorHAnsi" w:hAnsiTheme="minorHAnsi" w:eastAsiaTheme="minorEastAsia"/>
                <w:noProof/>
              </w:rPr>
              <w:tab/>
            </w:r>
            <w:r w:rsidRPr="002A5F13">
              <w:rPr>
                <w:rStyle w:val="Hyperlink"/>
                <w:noProof/>
              </w:rPr>
              <w:t xml:space="preserve"> Order of Hearing.</w:t>
            </w:r>
            <w:r>
              <w:rPr>
                <w:noProof/>
                <w:webHidden/>
              </w:rPr>
              <w:tab/>
            </w:r>
            <w:r>
              <w:rPr>
                <w:noProof/>
                <w:webHidden/>
              </w:rPr>
              <w:fldChar w:fldCharType="begin"/>
            </w:r>
            <w:r>
              <w:rPr>
                <w:noProof/>
                <w:webHidden/>
              </w:rPr>
              <w:instrText xml:space="preserve"> PAGEREF _Toc205560102 \h </w:instrText>
            </w:r>
            <w:r>
              <w:rPr>
                <w:noProof/>
                <w:webHidden/>
              </w:rPr>
            </w:r>
            <w:r>
              <w:rPr>
                <w:noProof/>
                <w:webHidden/>
              </w:rPr>
              <w:fldChar w:fldCharType="separate"/>
            </w:r>
            <w:r w:rsidR="00910935">
              <w:rPr>
                <w:noProof/>
                <w:webHidden/>
              </w:rPr>
              <w:t>7</w:t>
            </w:r>
            <w:r>
              <w:rPr>
                <w:noProof/>
                <w:webHidden/>
              </w:rPr>
              <w:fldChar w:fldCharType="end"/>
            </w:r>
          </w:hyperlink>
        </w:p>
        <w:p w:rsidR="00C6306C" w:rsidRDefault="00C6306C" w14:paraId="5DF334B0" w14:textId="4C3A7408">
          <w:pPr>
            <w:pStyle w:val="TOC1"/>
            <w:tabs>
              <w:tab w:val="right" w:leader="dot" w:pos="9350"/>
            </w:tabs>
            <w:rPr>
              <w:rFonts w:asciiTheme="minorHAnsi" w:hAnsiTheme="minorHAnsi" w:eastAsiaTheme="minorEastAsia"/>
              <w:noProof/>
            </w:rPr>
          </w:pPr>
          <w:hyperlink w:history="1" w:anchor="_Toc205560103">
            <w:r w:rsidRPr="002A5F13">
              <w:rPr>
                <w:rStyle w:val="Hyperlink"/>
                <w:rFonts w:cs="Times New Roman"/>
                <w:bCs/>
                <w:noProof/>
              </w:rPr>
              <w:t>URM Division I</w:t>
            </w:r>
            <w:r w:rsidR="00B31AB5">
              <w:rPr>
                <w:rStyle w:val="Hyperlink"/>
                <w:rFonts w:cs="Times New Roman"/>
                <w:bCs/>
                <w:noProof/>
              </w:rPr>
              <w:t>V</w:t>
            </w:r>
            <w:r w:rsidRPr="002A5F13">
              <w:rPr>
                <w:rStyle w:val="Hyperlink"/>
                <w:rFonts w:cs="Times New Roman"/>
                <w:bCs/>
                <w:noProof/>
              </w:rPr>
              <w:t>.  Rate change application technical requirements.</w:t>
            </w:r>
            <w:r>
              <w:rPr>
                <w:noProof/>
                <w:webHidden/>
              </w:rPr>
              <w:tab/>
            </w:r>
            <w:r>
              <w:rPr>
                <w:noProof/>
                <w:webHidden/>
              </w:rPr>
              <w:fldChar w:fldCharType="begin"/>
            </w:r>
            <w:r>
              <w:rPr>
                <w:noProof/>
                <w:webHidden/>
              </w:rPr>
              <w:instrText xml:space="preserve"> PAGEREF _Toc205560103 \h </w:instrText>
            </w:r>
            <w:r>
              <w:rPr>
                <w:noProof/>
                <w:webHidden/>
              </w:rPr>
            </w:r>
            <w:r>
              <w:rPr>
                <w:noProof/>
                <w:webHidden/>
              </w:rPr>
              <w:fldChar w:fldCharType="separate"/>
            </w:r>
            <w:r w:rsidR="00910935">
              <w:rPr>
                <w:noProof/>
                <w:webHidden/>
              </w:rPr>
              <w:t>7</w:t>
            </w:r>
            <w:r>
              <w:rPr>
                <w:noProof/>
                <w:webHidden/>
              </w:rPr>
              <w:fldChar w:fldCharType="end"/>
            </w:r>
          </w:hyperlink>
        </w:p>
        <w:p w:rsidR="00C6306C" w:rsidRDefault="00C6306C" w14:paraId="56393767" w14:textId="734FC4D2">
          <w:pPr>
            <w:pStyle w:val="TOC2"/>
            <w:tabs>
              <w:tab w:val="left" w:pos="1680"/>
              <w:tab w:val="right" w:leader="dot" w:pos="9350"/>
            </w:tabs>
            <w:rPr>
              <w:rFonts w:asciiTheme="minorHAnsi" w:hAnsiTheme="minorHAnsi" w:eastAsiaTheme="minorEastAsia"/>
              <w:noProof/>
            </w:rPr>
          </w:pPr>
          <w:hyperlink w:history="1" w:anchor="_Toc205560104">
            <w:r w:rsidRPr="002A5F13">
              <w:rPr>
                <w:rStyle w:val="Hyperlink"/>
                <w:noProof/>
              </w:rPr>
              <w:t>Section 1.</w:t>
            </w:r>
            <w:r>
              <w:rPr>
                <w:rFonts w:asciiTheme="minorHAnsi" w:hAnsiTheme="minorHAnsi" w:eastAsiaTheme="minorEastAsia"/>
                <w:noProof/>
              </w:rPr>
              <w:tab/>
            </w:r>
            <w:r w:rsidRPr="002A5F13">
              <w:rPr>
                <w:rStyle w:val="Hyperlink"/>
                <w:noProof/>
              </w:rPr>
              <w:t>Required Content.</w:t>
            </w:r>
            <w:r>
              <w:rPr>
                <w:noProof/>
                <w:webHidden/>
              </w:rPr>
              <w:tab/>
            </w:r>
            <w:r>
              <w:rPr>
                <w:noProof/>
                <w:webHidden/>
              </w:rPr>
              <w:fldChar w:fldCharType="begin"/>
            </w:r>
            <w:r>
              <w:rPr>
                <w:noProof/>
                <w:webHidden/>
              </w:rPr>
              <w:instrText xml:space="preserve"> PAGEREF _Toc205560104 \h </w:instrText>
            </w:r>
            <w:r>
              <w:rPr>
                <w:noProof/>
                <w:webHidden/>
              </w:rPr>
            </w:r>
            <w:r>
              <w:rPr>
                <w:noProof/>
                <w:webHidden/>
              </w:rPr>
              <w:fldChar w:fldCharType="separate"/>
            </w:r>
            <w:r w:rsidR="00910935">
              <w:rPr>
                <w:noProof/>
                <w:webHidden/>
              </w:rPr>
              <w:t>7</w:t>
            </w:r>
            <w:r>
              <w:rPr>
                <w:noProof/>
                <w:webHidden/>
              </w:rPr>
              <w:fldChar w:fldCharType="end"/>
            </w:r>
          </w:hyperlink>
        </w:p>
        <w:p w:rsidR="00C6306C" w:rsidP="002F7371" w:rsidRDefault="00C6306C" w14:paraId="6B866DE8" w14:textId="249CC692">
          <w:pPr>
            <w:pStyle w:val="TOC2"/>
            <w:tabs>
              <w:tab w:val="left" w:pos="1680"/>
              <w:tab w:val="right" w:leader="dot" w:pos="9350"/>
            </w:tabs>
            <w:rPr>
              <w:rFonts w:asciiTheme="minorHAnsi" w:hAnsiTheme="minorHAnsi" w:eastAsiaTheme="minorEastAsia"/>
              <w:noProof/>
            </w:rPr>
          </w:pPr>
          <w:hyperlink w:history="1" w:anchor="_Toc205560105">
            <w:r w:rsidRPr="002A5F13">
              <w:rPr>
                <w:rStyle w:val="Hyperlink"/>
                <w:noProof/>
              </w:rPr>
              <w:t>Section 2.</w:t>
            </w:r>
            <w:r>
              <w:rPr>
                <w:rFonts w:asciiTheme="minorHAnsi" w:hAnsiTheme="minorHAnsi" w:eastAsiaTheme="minorEastAsia"/>
                <w:noProof/>
              </w:rPr>
              <w:tab/>
            </w:r>
            <w:r w:rsidRPr="002A5F13">
              <w:rPr>
                <w:rStyle w:val="Hyperlink"/>
                <w:noProof/>
              </w:rPr>
              <w:t>Discovery instructions.</w:t>
            </w:r>
            <w:r>
              <w:rPr>
                <w:noProof/>
                <w:webHidden/>
              </w:rPr>
              <w:tab/>
            </w:r>
            <w:r>
              <w:rPr>
                <w:noProof/>
                <w:webHidden/>
              </w:rPr>
              <w:fldChar w:fldCharType="begin"/>
            </w:r>
            <w:r>
              <w:rPr>
                <w:noProof/>
                <w:webHidden/>
              </w:rPr>
              <w:instrText xml:space="preserve"> PAGEREF _Toc205560105 \h </w:instrText>
            </w:r>
            <w:r>
              <w:rPr>
                <w:noProof/>
                <w:webHidden/>
              </w:rPr>
            </w:r>
            <w:r>
              <w:rPr>
                <w:noProof/>
                <w:webHidden/>
              </w:rPr>
              <w:fldChar w:fldCharType="separate"/>
            </w:r>
            <w:r w:rsidR="00910935">
              <w:rPr>
                <w:noProof/>
                <w:webHidden/>
              </w:rPr>
              <w:t>6</w:t>
            </w:r>
            <w:r>
              <w:rPr>
                <w:noProof/>
                <w:webHidden/>
              </w:rPr>
              <w:fldChar w:fldCharType="end"/>
            </w:r>
          </w:hyperlink>
        </w:p>
        <w:p w:rsidR="00C6306C" w:rsidRDefault="00C6306C" w14:paraId="1F33473B" w14:textId="525960F8">
          <w:pPr>
            <w:pStyle w:val="TOC1"/>
            <w:tabs>
              <w:tab w:val="right" w:leader="dot" w:pos="9350"/>
            </w:tabs>
            <w:rPr>
              <w:rFonts w:asciiTheme="minorHAnsi" w:hAnsiTheme="minorHAnsi" w:eastAsiaTheme="minorEastAsia"/>
              <w:noProof/>
            </w:rPr>
          </w:pPr>
          <w:hyperlink w:history="1" w:anchor="_Toc205560108">
            <w:r w:rsidRPr="002A5F13">
              <w:rPr>
                <w:rStyle w:val="Hyperlink"/>
                <w:noProof/>
              </w:rPr>
              <w:t xml:space="preserve">URM Division V.  Electric utility integrated resource plan rules. </w:t>
            </w:r>
            <w:r>
              <w:rPr>
                <w:noProof/>
                <w:webHidden/>
              </w:rPr>
              <w:tab/>
            </w:r>
            <w:r>
              <w:rPr>
                <w:noProof/>
                <w:webHidden/>
              </w:rPr>
              <w:fldChar w:fldCharType="begin"/>
            </w:r>
            <w:r>
              <w:rPr>
                <w:noProof/>
                <w:webHidden/>
              </w:rPr>
              <w:instrText xml:space="preserve"> PAGEREF _Toc205560108 \h </w:instrText>
            </w:r>
            <w:r>
              <w:rPr>
                <w:noProof/>
                <w:webHidden/>
              </w:rPr>
            </w:r>
            <w:r>
              <w:rPr>
                <w:noProof/>
                <w:webHidden/>
              </w:rPr>
              <w:fldChar w:fldCharType="separate"/>
            </w:r>
            <w:r w:rsidR="00910935">
              <w:rPr>
                <w:noProof/>
                <w:webHidden/>
              </w:rPr>
              <w:t>17</w:t>
            </w:r>
            <w:r>
              <w:rPr>
                <w:noProof/>
                <w:webHidden/>
              </w:rPr>
              <w:fldChar w:fldCharType="end"/>
            </w:r>
          </w:hyperlink>
        </w:p>
        <w:p w:rsidR="00C6306C" w:rsidRDefault="00C6306C" w14:paraId="0D407648" w14:textId="0C3F1DA2">
          <w:pPr>
            <w:pStyle w:val="TOC1"/>
            <w:tabs>
              <w:tab w:val="right" w:leader="dot" w:pos="9350"/>
            </w:tabs>
            <w:rPr>
              <w:rFonts w:asciiTheme="minorHAnsi" w:hAnsiTheme="minorHAnsi" w:eastAsiaTheme="minorEastAsia"/>
              <w:noProof/>
            </w:rPr>
          </w:pPr>
          <w:hyperlink w:history="1" w:anchor="_Toc205560109">
            <w:r w:rsidRPr="002A5F13">
              <w:rPr>
                <w:rStyle w:val="Hyperlink"/>
                <w:noProof/>
              </w:rPr>
              <w:t>URM Division VI.  Renewable clean portfolio standard rules.</w:t>
            </w:r>
            <w:r>
              <w:rPr>
                <w:noProof/>
                <w:webHidden/>
              </w:rPr>
              <w:tab/>
            </w:r>
            <w:r>
              <w:rPr>
                <w:noProof/>
                <w:webHidden/>
              </w:rPr>
              <w:fldChar w:fldCharType="begin"/>
            </w:r>
            <w:r>
              <w:rPr>
                <w:noProof/>
                <w:webHidden/>
              </w:rPr>
              <w:instrText xml:space="preserve"> PAGEREF _Toc205560109 \h </w:instrText>
            </w:r>
            <w:r>
              <w:rPr>
                <w:noProof/>
                <w:webHidden/>
              </w:rPr>
            </w:r>
            <w:r>
              <w:rPr>
                <w:noProof/>
                <w:webHidden/>
              </w:rPr>
              <w:fldChar w:fldCharType="separate"/>
            </w:r>
            <w:r w:rsidR="00910935">
              <w:rPr>
                <w:noProof/>
                <w:webHidden/>
              </w:rPr>
              <w:t>18</w:t>
            </w:r>
            <w:r>
              <w:rPr>
                <w:noProof/>
                <w:webHidden/>
              </w:rPr>
              <w:fldChar w:fldCharType="end"/>
            </w:r>
          </w:hyperlink>
        </w:p>
        <w:p w:rsidR="00C6306C" w:rsidRDefault="00C6306C" w14:paraId="7D066572" w14:textId="1438E534">
          <w:pPr>
            <w:pStyle w:val="TOC1"/>
            <w:tabs>
              <w:tab w:val="right" w:leader="dot" w:pos="9350"/>
            </w:tabs>
            <w:rPr>
              <w:rFonts w:asciiTheme="minorHAnsi" w:hAnsiTheme="minorHAnsi" w:eastAsiaTheme="minorEastAsia"/>
              <w:noProof/>
            </w:rPr>
          </w:pPr>
          <w:hyperlink w:history="1" w:anchor="_Toc205560110">
            <w:r w:rsidRPr="002A5F13">
              <w:rPr>
                <w:rStyle w:val="Hyperlink"/>
                <w:noProof/>
              </w:rPr>
              <w:t>URM Division VII.  Net Energy Metering Rules.</w:t>
            </w:r>
            <w:r>
              <w:rPr>
                <w:noProof/>
                <w:webHidden/>
              </w:rPr>
              <w:tab/>
            </w:r>
            <w:r>
              <w:rPr>
                <w:noProof/>
                <w:webHidden/>
              </w:rPr>
              <w:fldChar w:fldCharType="begin"/>
            </w:r>
            <w:r>
              <w:rPr>
                <w:noProof/>
                <w:webHidden/>
              </w:rPr>
              <w:instrText xml:space="preserve"> PAGEREF _Toc205560110 \h </w:instrText>
            </w:r>
            <w:r>
              <w:rPr>
                <w:noProof/>
                <w:webHidden/>
              </w:rPr>
            </w:r>
            <w:r>
              <w:rPr>
                <w:noProof/>
                <w:webHidden/>
              </w:rPr>
              <w:fldChar w:fldCharType="separate"/>
            </w:r>
            <w:r w:rsidR="00910935">
              <w:rPr>
                <w:noProof/>
                <w:webHidden/>
              </w:rPr>
              <w:t>19</w:t>
            </w:r>
            <w:r>
              <w:rPr>
                <w:noProof/>
                <w:webHidden/>
              </w:rPr>
              <w:fldChar w:fldCharType="end"/>
            </w:r>
          </w:hyperlink>
        </w:p>
        <w:p w:rsidR="00C6306C" w:rsidRDefault="00C6306C" w14:paraId="796EB694" w14:textId="4ADCCDE4">
          <w:pPr>
            <w:pStyle w:val="TOC1"/>
            <w:tabs>
              <w:tab w:val="right" w:leader="dot" w:pos="9350"/>
            </w:tabs>
            <w:rPr>
              <w:rFonts w:asciiTheme="minorHAnsi" w:hAnsiTheme="minorHAnsi" w:eastAsiaTheme="minorEastAsia"/>
              <w:noProof/>
            </w:rPr>
          </w:pPr>
          <w:hyperlink w:history="1" w:anchor="_Toc205560111">
            <w:r w:rsidRPr="002A5F13">
              <w:rPr>
                <w:rStyle w:val="Hyperlink"/>
                <w:noProof/>
              </w:rPr>
              <w:t>URM Division VIII.  Community Solar Rules.</w:t>
            </w:r>
            <w:r>
              <w:rPr>
                <w:noProof/>
                <w:webHidden/>
              </w:rPr>
              <w:tab/>
            </w:r>
            <w:r>
              <w:rPr>
                <w:noProof/>
                <w:webHidden/>
              </w:rPr>
              <w:fldChar w:fldCharType="begin"/>
            </w:r>
            <w:r>
              <w:rPr>
                <w:noProof/>
                <w:webHidden/>
              </w:rPr>
              <w:instrText xml:space="preserve"> PAGEREF _Toc205560111 \h </w:instrText>
            </w:r>
            <w:r>
              <w:rPr>
                <w:noProof/>
                <w:webHidden/>
              </w:rPr>
            </w:r>
            <w:r>
              <w:rPr>
                <w:noProof/>
                <w:webHidden/>
              </w:rPr>
              <w:fldChar w:fldCharType="separate"/>
            </w:r>
            <w:r w:rsidR="00910935">
              <w:rPr>
                <w:noProof/>
                <w:webHidden/>
              </w:rPr>
              <w:t>20</w:t>
            </w:r>
            <w:r>
              <w:rPr>
                <w:noProof/>
                <w:webHidden/>
              </w:rPr>
              <w:fldChar w:fldCharType="end"/>
            </w:r>
          </w:hyperlink>
        </w:p>
        <w:p w:rsidR="00C6306C" w:rsidRDefault="00C6306C" w14:paraId="275F48D3" w14:textId="396E721E">
          <w:pPr>
            <w:pStyle w:val="TOC1"/>
            <w:tabs>
              <w:tab w:val="right" w:leader="dot" w:pos="9350"/>
            </w:tabs>
            <w:rPr>
              <w:rFonts w:asciiTheme="minorHAnsi" w:hAnsiTheme="minorHAnsi" w:eastAsiaTheme="minorEastAsia"/>
              <w:noProof/>
            </w:rPr>
          </w:pPr>
          <w:hyperlink w:history="1" w:anchor="_Toc205560112">
            <w:r w:rsidRPr="002A5F13">
              <w:rPr>
                <w:rStyle w:val="Hyperlink"/>
                <w:noProof/>
              </w:rPr>
              <w:t>URM Division IX.  RFP Rules.</w:t>
            </w:r>
            <w:r>
              <w:rPr>
                <w:noProof/>
                <w:webHidden/>
              </w:rPr>
              <w:tab/>
            </w:r>
            <w:r>
              <w:rPr>
                <w:noProof/>
                <w:webHidden/>
              </w:rPr>
              <w:fldChar w:fldCharType="begin"/>
            </w:r>
            <w:r>
              <w:rPr>
                <w:noProof/>
                <w:webHidden/>
              </w:rPr>
              <w:instrText xml:space="preserve"> PAGEREF _Toc205560112 \h </w:instrText>
            </w:r>
            <w:r>
              <w:rPr>
                <w:noProof/>
                <w:webHidden/>
              </w:rPr>
            </w:r>
            <w:r>
              <w:rPr>
                <w:noProof/>
                <w:webHidden/>
              </w:rPr>
              <w:fldChar w:fldCharType="separate"/>
            </w:r>
            <w:r w:rsidR="00910935">
              <w:rPr>
                <w:noProof/>
                <w:webHidden/>
              </w:rPr>
              <w:t>21</w:t>
            </w:r>
            <w:r>
              <w:rPr>
                <w:noProof/>
                <w:webHidden/>
              </w:rPr>
              <w:fldChar w:fldCharType="end"/>
            </w:r>
          </w:hyperlink>
        </w:p>
        <w:p w:rsidR="00C6306C" w:rsidRDefault="00C6306C" w14:paraId="0D798047" w14:textId="734DC170">
          <w:pPr>
            <w:pStyle w:val="TOC1"/>
            <w:tabs>
              <w:tab w:val="right" w:leader="dot" w:pos="9350"/>
            </w:tabs>
            <w:rPr>
              <w:rFonts w:asciiTheme="minorHAnsi" w:hAnsiTheme="minorHAnsi" w:eastAsiaTheme="minorEastAsia"/>
              <w:noProof/>
            </w:rPr>
          </w:pPr>
          <w:hyperlink w:history="1" w:anchor="_Toc205560113">
            <w:r w:rsidRPr="002A5F13">
              <w:rPr>
                <w:rStyle w:val="Hyperlink"/>
                <w:noProof/>
              </w:rPr>
              <w:t>URM Division X.  Protective order governing confidential and sensitive information.</w:t>
            </w:r>
            <w:r>
              <w:rPr>
                <w:noProof/>
                <w:webHidden/>
              </w:rPr>
              <w:tab/>
            </w:r>
            <w:r>
              <w:rPr>
                <w:noProof/>
                <w:webHidden/>
              </w:rPr>
              <w:fldChar w:fldCharType="begin"/>
            </w:r>
            <w:r>
              <w:rPr>
                <w:noProof/>
                <w:webHidden/>
              </w:rPr>
              <w:instrText xml:space="preserve"> PAGEREF _Toc205560113 \h </w:instrText>
            </w:r>
            <w:r>
              <w:rPr>
                <w:noProof/>
                <w:webHidden/>
              </w:rPr>
            </w:r>
            <w:r>
              <w:rPr>
                <w:noProof/>
                <w:webHidden/>
              </w:rPr>
              <w:fldChar w:fldCharType="separate"/>
            </w:r>
            <w:r w:rsidR="00910935">
              <w:rPr>
                <w:noProof/>
                <w:webHidden/>
              </w:rPr>
              <w:t>22</w:t>
            </w:r>
            <w:r>
              <w:rPr>
                <w:noProof/>
                <w:webHidden/>
              </w:rPr>
              <w:fldChar w:fldCharType="end"/>
            </w:r>
          </w:hyperlink>
        </w:p>
        <w:p w:rsidR="000379DD" w:rsidRDefault="000379DD" w14:paraId="1236B4D9" w14:textId="093ACB0F">
          <w:r>
            <w:rPr>
              <w:b/>
              <w:bCs/>
              <w:noProof/>
            </w:rPr>
            <w:fldChar w:fldCharType="end"/>
          </w:r>
        </w:p>
      </w:sdtContent>
    </w:sdt>
    <w:p w:rsidR="00EC6E61" w:rsidP="00EC6E61" w:rsidRDefault="00EC6E61" w14:paraId="45A8AADB" w14:textId="77777777">
      <w:pPr>
        <w:shd w:val="clear" w:color="auto" w:fill="FFFFFF" w:themeFill="background1"/>
        <w:jc w:val="both"/>
        <w:rPr>
          <w:rFonts w:cs="Times New Roman"/>
        </w:rPr>
      </w:pPr>
    </w:p>
    <w:p w:rsidR="00EC6E61" w:rsidP="00EC6E61" w:rsidRDefault="00EC6E61" w14:paraId="430F348B" w14:textId="77777777">
      <w:pPr>
        <w:shd w:val="clear" w:color="auto" w:fill="FFFFFF" w:themeFill="background1"/>
        <w:jc w:val="both"/>
        <w:rPr>
          <w:rFonts w:cs="Times New Roman"/>
        </w:rPr>
      </w:pPr>
    </w:p>
    <w:p w:rsidRPr="003A1409" w:rsidR="00EC6E61" w:rsidP="009D08D6" w:rsidRDefault="00EC6E61" w14:paraId="1FE9407B" w14:textId="77777777">
      <w:pPr>
        <w:shd w:val="clear" w:color="auto" w:fill="FFFFFF" w:themeFill="background1"/>
        <w:jc w:val="both"/>
        <w:rPr>
          <w:rFonts w:cs="Times New Roman"/>
        </w:rPr>
        <w:sectPr w:rsidRPr="003A1409" w:rsidR="00EC6E61" w:rsidSect="008C205C">
          <w:pgSz w:w="12240" w:h="15840"/>
          <w:pgMar w:top="1440" w:right="1440" w:bottom="1440" w:left="1440" w:header="720" w:footer="720" w:gutter="0"/>
          <w:pgBorders w:offsetFrom="page">
            <w:left w:val="single" w:color="auto" w:sz="4" w:space="24"/>
          </w:pgBorders>
          <w:cols w:space="720"/>
          <w:docGrid w:linePitch="360"/>
        </w:sectPr>
      </w:pPr>
    </w:p>
    <w:p w:rsidRPr="004E3B85" w:rsidR="00D1123E" w:rsidP="007556D8" w:rsidRDefault="00640B52" w14:paraId="107BBD6E" w14:textId="247AE61B">
      <w:pPr>
        <w:pStyle w:val="Heading1"/>
      </w:pPr>
      <w:r w:rsidRPr="00280AC9">
        <w:rPr>
          <w:rFonts w:cs="Times New Roman"/>
        </w:rPr>
        <w:lastRenderedPageBreak/>
        <w:t xml:space="preserve"> </w:t>
      </w:r>
      <w:bookmarkStart w:name="_Toc205560093" w:id="1"/>
      <w:r w:rsidRPr="00ED1D2D" w:rsidR="00ED1D2D">
        <w:t xml:space="preserve">URM Division </w:t>
      </w:r>
      <w:r w:rsidRPr="00ED1D2D" w:rsidR="008D276F">
        <w:t>I.</w:t>
      </w:r>
      <w:r w:rsidRPr="00280AC9" w:rsidR="008D276F">
        <w:t xml:space="preserve">  </w:t>
      </w:r>
      <w:r w:rsidR="00D1123E">
        <w:t xml:space="preserve">New Orleans City Council </w:t>
      </w:r>
      <w:r w:rsidRPr="004E3B85" w:rsidR="00D1123E">
        <w:t xml:space="preserve">Utility </w:t>
      </w:r>
      <w:r w:rsidRPr="007556D8" w:rsidR="00D1123E">
        <w:rPr>
          <w:b w:val="0"/>
        </w:rPr>
        <w:t>R</w:t>
      </w:r>
      <w:r w:rsidRPr="004E3B85" w:rsidR="00D1123E">
        <w:t>egulatory  Manual (“URM”)</w:t>
      </w:r>
      <w:r w:rsidR="006B1CF2">
        <w:t>.</w:t>
      </w:r>
      <w:bookmarkEnd w:id="1"/>
    </w:p>
    <w:p w:rsidRPr="00280AC9" w:rsidR="00640B52" w:rsidP="007556D8" w:rsidRDefault="00D1123E" w14:paraId="33F1767B" w14:textId="37F0242D">
      <w:pPr>
        <w:pStyle w:val="Heading2"/>
      </w:pPr>
      <w:bookmarkStart w:name="_Toc205560094" w:id="2"/>
      <w:r>
        <w:t>Section 1.</w:t>
      </w:r>
      <w:r w:rsidR="006B1CF2">
        <w:tab/>
      </w:r>
      <w:r w:rsidRPr="00280AC9" w:rsidR="00640B52">
        <w:t>Purpose.</w:t>
      </w:r>
      <w:bookmarkEnd w:id="2"/>
    </w:p>
    <w:p w:rsidRPr="003A1409" w:rsidR="00640B52" w:rsidP="0013748A" w:rsidRDefault="00280AC9" w14:paraId="4C2B1976" w14:textId="4454F4E8">
      <w:pPr>
        <w:pStyle w:val="ListParagraph"/>
        <w:shd w:val="clear" w:color="auto" w:fill="FFFFFF" w:themeFill="background1"/>
        <w:spacing w:line="240" w:lineRule="auto"/>
        <w:jc w:val="both"/>
        <w:rPr>
          <w:rFonts w:cs="Times New Roman"/>
        </w:rPr>
      </w:pPr>
      <w:r>
        <w:rPr>
          <w:rFonts w:cs="Times New Roman"/>
        </w:rPr>
        <w:t>T</w:t>
      </w:r>
      <w:r w:rsidR="00640B52">
        <w:rPr>
          <w:rFonts w:cs="Times New Roman"/>
        </w:rPr>
        <w:t xml:space="preserve">his Utility Regulatory Manual (“URM”) </w:t>
      </w:r>
      <w:r>
        <w:rPr>
          <w:rFonts w:cs="Times New Roman"/>
        </w:rPr>
        <w:t>was adopted by Council Resolution No. 25-     ,</w:t>
      </w:r>
      <w:r w:rsidR="00640B52">
        <w:rPr>
          <w:rFonts w:cs="Times New Roman"/>
        </w:rPr>
        <w:t xml:space="preserve">as authorized by </w:t>
      </w:r>
      <w:r w:rsidR="00364CF0">
        <w:rPr>
          <w:rFonts w:cs="Times New Roman"/>
        </w:rPr>
        <w:t>C</w:t>
      </w:r>
      <w:r w:rsidR="00640B52">
        <w:rPr>
          <w:rFonts w:cs="Times New Roman"/>
        </w:rPr>
        <w:t xml:space="preserve">hapter 158 of the Code of the City of New Orleans. </w:t>
      </w:r>
      <w:r w:rsidRPr="00801F30" w:rsidR="00640B52">
        <w:rPr>
          <w:rFonts w:cs="Times New Roman"/>
        </w:rPr>
        <w:t>The purpose of the</w:t>
      </w:r>
      <w:r w:rsidR="00640B52">
        <w:rPr>
          <w:rFonts w:cs="Times New Roman"/>
        </w:rPr>
        <w:t xml:space="preserve"> URM</w:t>
      </w:r>
      <w:r w:rsidRPr="00801F30" w:rsidR="00640B52">
        <w:rPr>
          <w:rFonts w:cs="Times New Roman"/>
        </w:rPr>
        <w:t xml:space="preserve"> is to provide a single common reference document to provide detailed </w:t>
      </w:r>
      <w:r w:rsidR="00640B52">
        <w:rPr>
          <w:rFonts w:cs="Times New Roman"/>
        </w:rPr>
        <w:t xml:space="preserve">rules, procedures, </w:t>
      </w:r>
      <w:r w:rsidRPr="00801F30" w:rsidR="00640B52">
        <w:rPr>
          <w:rFonts w:cs="Times New Roman"/>
        </w:rPr>
        <w:t>descriptions</w:t>
      </w:r>
      <w:r w:rsidR="00640B52">
        <w:rPr>
          <w:rFonts w:cs="Times New Roman"/>
        </w:rPr>
        <w:t>,</w:t>
      </w:r>
      <w:r w:rsidRPr="00801F30" w:rsidR="00640B52">
        <w:rPr>
          <w:rFonts w:cs="Times New Roman"/>
        </w:rPr>
        <w:t xml:space="preserve"> and specifications for filing requirements</w:t>
      </w:r>
      <w:r w:rsidR="00640B52">
        <w:rPr>
          <w:rFonts w:cs="Times New Roman"/>
        </w:rPr>
        <w:t>, practice,</w:t>
      </w:r>
      <w:r w:rsidRPr="00801F30" w:rsidR="00640B52">
        <w:rPr>
          <w:rFonts w:cs="Times New Roman"/>
        </w:rPr>
        <w:t xml:space="preserve"> and procedures </w:t>
      </w:r>
      <w:r w:rsidR="00640B52">
        <w:rPr>
          <w:rFonts w:cs="Times New Roman"/>
        </w:rPr>
        <w:t xml:space="preserve">related to </w:t>
      </w:r>
      <w:r w:rsidR="00364CF0">
        <w:rPr>
          <w:rFonts w:cs="Times New Roman"/>
        </w:rPr>
        <w:t>C</w:t>
      </w:r>
      <w:r w:rsidRPr="00801F30" w:rsidR="00640B52">
        <w:rPr>
          <w:rFonts w:cs="Times New Roman"/>
        </w:rPr>
        <w:t>hapter</w:t>
      </w:r>
      <w:r w:rsidR="00640B52">
        <w:rPr>
          <w:rFonts w:cs="Times New Roman"/>
        </w:rPr>
        <w:t xml:space="preserve"> 158</w:t>
      </w:r>
      <w:r w:rsidRPr="00801F30" w:rsidR="00640B52">
        <w:rPr>
          <w:rFonts w:cs="Times New Roman"/>
        </w:rPr>
        <w:t>.</w:t>
      </w:r>
      <w:r w:rsidR="00640B52">
        <w:rPr>
          <w:rFonts w:cs="Times New Roman"/>
        </w:rPr>
        <w:t xml:space="preserve"> </w:t>
      </w:r>
      <w:r w:rsidRPr="00801F30" w:rsidR="00640B52">
        <w:rPr>
          <w:rFonts w:cs="Times New Roman"/>
        </w:rPr>
        <w:t xml:space="preserve">A copy of the </w:t>
      </w:r>
      <w:r w:rsidR="00640B52">
        <w:rPr>
          <w:rFonts w:cs="Times New Roman"/>
        </w:rPr>
        <w:t>U</w:t>
      </w:r>
      <w:r w:rsidRPr="00801F30" w:rsidR="00640B52">
        <w:rPr>
          <w:rFonts w:cs="Times New Roman"/>
        </w:rPr>
        <w:t xml:space="preserve">RM shall be made available on the council’s website. </w:t>
      </w:r>
      <w:r w:rsidR="00640B52">
        <w:rPr>
          <w:rFonts w:cs="Times New Roman"/>
        </w:rPr>
        <w:t>The URM may be amended by resolution of the council.</w:t>
      </w:r>
    </w:p>
    <w:p w:rsidRPr="00280AC9" w:rsidR="00640B52" w:rsidP="007556D8" w:rsidRDefault="008D276F" w14:paraId="7E3FCC85" w14:textId="55CD9413">
      <w:pPr>
        <w:pStyle w:val="Heading2"/>
      </w:pPr>
      <w:bookmarkStart w:name="_Toc205560095" w:id="3"/>
      <w:r w:rsidRPr="00280AC9">
        <w:t>Section 2.</w:t>
      </w:r>
      <w:r w:rsidR="006B1CF2">
        <w:tab/>
      </w:r>
      <w:r w:rsidR="00EC6E61">
        <w:t>Applicability</w:t>
      </w:r>
      <w:r w:rsidRPr="00280AC9" w:rsidR="00640B52">
        <w:t>.</w:t>
      </w:r>
      <w:bookmarkEnd w:id="3"/>
    </w:p>
    <w:p w:rsidRPr="003A1409" w:rsidR="00843228" w:rsidP="0013748A" w:rsidRDefault="001D4652" w14:paraId="49671882" w14:textId="4477EE38">
      <w:pPr>
        <w:pStyle w:val="ListParagraph"/>
        <w:shd w:val="clear" w:color="auto" w:fill="FFFFFF" w:themeFill="background1"/>
        <w:spacing w:line="240" w:lineRule="auto"/>
        <w:jc w:val="both"/>
        <w:rPr>
          <w:rFonts w:cs="Times New Roman"/>
        </w:rPr>
      </w:pPr>
      <w:r w:rsidRPr="003A1409">
        <w:rPr>
          <w:rFonts w:cs="Times New Roman"/>
        </w:rPr>
        <w:t>Th</w:t>
      </w:r>
      <w:r w:rsidR="00640B52">
        <w:rPr>
          <w:rFonts w:cs="Times New Roman"/>
        </w:rPr>
        <w:t>e URM</w:t>
      </w:r>
      <w:r w:rsidRPr="003A1409">
        <w:rPr>
          <w:rFonts w:cs="Times New Roman"/>
        </w:rPr>
        <w:t xml:space="preserve"> contains </w:t>
      </w:r>
      <w:r w:rsidR="00466B7B">
        <w:rPr>
          <w:rFonts w:cs="Times New Roman"/>
        </w:rPr>
        <w:t xml:space="preserve">procedural and </w:t>
      </w:r>
      <w:r w:rsidRPr="003A1409" w:rsidR="00B82B03">
        <w:rPr>
          <w:rFonts w:cs="Times New Roman"/>
        </w:rPr>
        <w:t>technical</w:t>
      </w:r>
      <w:r w:rsidRPr="003A1409">
        <w:rPr>
          <w:rFonts w:cs="Times New Roman"/>
        </w:rPr>
        <w:t xml:space="preserve"> requirements </w:t>
      </w:r>
      <w:r w:rsidRPr="003A1409" w:rsidR="00B82B03">
        <w:rPr>
          <w:rFonts w:cs="Times New Roman"/>
        </w:rPr>
        <w:t>related to</w:t>
      </w:r>
      <w:r w:rsidR="00F654CD">
        <w:rPr>
          <w:rFonts w:cs="Times New Roman"/>
        </w:rPr>
        <w:t xml:space="preserve"> electricity and gas</w:t>
      </w:r>
      <w:r w:rsidRPr="003A1409" w:rsidR="00B82B03">
        <w:rPr>
          <w:rFonts w:cs="Times New Roman"/>
        </w:rPr>
        <w:t xml:space="preserve"> filings </w:t>
      </w:r>
      <w:r w:rsidR="006216F9">
        <w:rPr>
          <w:rFonts w:cs="Times New Roman"/>
        </w:rPr>
        <w:t xml:space="preserve">and </w:t>
      </w:r>
      <w:r w:rsidR="00E53283">
        <w:rPr>
          <w:rFonts w:cs="Times New Roman"/>
        </w:rPr>
        <w:t xml:space="preserve">regulatory proceedings </w:t>
      </w:r>
      <w:r w:rsidRPr="003A1409" w:rsidR="00B82B03">
        <w:rPr>
          <w:rFonts w:cs="Times New Roman"/>
        </w:rPr>
        <w:t>governed in Chapter 158</w:t>
      </w:r>
      <w:r w:rsidR="00AA21E8">
        <w:rPr>
          <w:rFonts w:cs="Times New Roman"/>
        </w:rPr>
        <w:t xml:space="preserve">, </w:t>
      </w:r>
      <w:r w:rsidR="00640B52">
        <w:rPr>
          <w:rFonts w:cs="Times New Roman"/>
        </w:rPr>
        <w:t>including</w:t>
      </w:r>
      <w:r w:rsidR="00EC6E61">
        <w:rPr>
          <w:rFonts w:cs="Times New Roman"/>
        </w:rPr>
        <w:t>, but not limited to</w:t>
      </w:r>
      <w:r w:rsidR="00640B52">
        <w:rPr>
          <w:rFonts w:cs="Times New Roman"/>
        </w:rPr>
        <w:t>:</w:t>
      </w:r>
      <w:r w:rsidRPr="003A1409" w:rsidR="00B82B03">
        <w:rPr>
          <w:rFonts w:cs="Times New Roman"/>
        </w:rPr>
        <w:t xml:space="preserve"> </w:t>
      </w:r>
    </w:p>
    <w:p w:rsidR="00A61870" w:rsidP="0013748A" w:rsidRDefault="00A61870" w14:paraId="7CF3A7D0" w14:textId="77777777">
      <w:pPr>
        <w:pStyle w:val="ListParagraph"/>
        <w:numPr>
          <w:ilvl w:val="0"/>
          <w:numId w:val="27"/>
        </w:numPr>
        <w:shd w:val="clear" w:color="auto" w:fill="FFFFFF" w:themeFill="background1"/>
        <w:spacing w:line="240" w:lineRule="auto"/>
        <w:jc w:val="both"/>
        <w:rPr>
          <w:rFonts w:cs="Times New Roman"/>
        </w:rPr>
      </w:pPr>
      <w:r>
        <w:rPr>
          <w:rFonts w:cs="Times New Roman"/>
        </w:rPr>
        <w:t>General filing procedures.</w:t>
      </w:r>
    </w:p>
    <w:p w:rsidR="00843228" w:rsidP="0013748A" w:rsidRDefault="00F74D7D" w14:paraId="6A244AB0" w14:textId="05190C07">
      <w:pPr>
        <w:pStyle w:val="ListParagraph"/>
        <w:numPr>
          <w:ilvl w:val="0"/>
          <w:numId w:val="27"/>
        </w:numPr>
        <w:shd w:val="clear" w:color="auto" w:fill="FFFFFF" w:themeFill="background1"/>
        <w:spacing w:line="240" w:lineRule="auto"/>
        <w:jc w:val="both"/>
        <w:rPr>
          <w:rFonts w:cs="Times New Roman"/>
        </w:rPr>
      </w:pPr>
      <w:r>
        <w:rPr>
          <w:rFonts w:cs="Times New Roman"/>
        </w:rPr>
        <w:t>Council approved c</w:t>
      </w:r>
      <w:r w:rsidRPr="003A1409" w:rsidR="001D4652">
        <w:rPr>
          <w:rFonts w:cs="Times New Roman"/>
        </w:rPr>
        <w:t xml:space="preserve">ustomer </w:t>
      </w:r>
      <w:r>
        <w:rPr>
          <w:rFonts w:cs="Times New Roman"/>
        </w:rPr>
        <w:t>s</w:t>
      </w:r>
      <w:r w:rsidRPr="003A1409" w:rsidR="001D4652">
        <w:rPr>
          <w:rFonts w:cs="Times New Roman"/>
        </w:rPr>
        <w:t xml:space="preserve">ervice </w:t>
      </w:r>
      <w:r>
        <w:rPr>
          <w:rFonts w:cs="Times New Roman"/>
        </w:rPr>
        <w:t>r</w:t>
      </w:r>
      <w:r w:rsidRPr="003A1409" w:rsidR="001D4652">
        <w:rPr>
          <w:rFonts w:cs="Times New Roman"/>
        </w:rPr>
        <w:t>egulations</w:t>
      </w:r>
      <w:r>
        <w:rPr>
          <w:rFonts w:cs="Times New Roman"/>
        </w:rPr>
        <w:t>.</w:t>
      </w:r>
    </w:p>
    <w:p w:rsidR="00C834EA" w:rsidP="0013748A" w:rsidRDefault="00C834EA" w14:paraId="68542FA3" w14:textId="0444FCE2">
      <w:pPr>
        <w:pStyle w:val="ListParagraph"/>
        <w:numPr>
          <w:ilvl w:val="0"/>
          <w:numId w:val="27"/>
        </w:numPr>
        <w:shd w:val="clear" w:color="auto" w:fill="FFFFFF" w:themeFill="background1"/>
        <w:spacing w:line="240" w:lineRule="auto"/>
        <w:jc w:val="both"/>
        <w:rPr>
          <w:rFonts w:cs="Times New Roman"/>
        </w:rPr>
      </w:pPr>
      <w:r>
        <w:rPr>
          <w:rFonts w:cs="Times New Roman"/>
        </w:rPr>
        <w:t>Rate change application</w:t>
      </w:r>
      <w:r w:rsidR="003A41D9">
        <w:rPr>
          <w:rFonts w:cs="Times New Roman"/>
        </w:rPr>
        <w:t xml:space="preserve"> technical requirements</w:t>
      </w:r>
      <w:r w:rsidR="00F74D7D">
        <w:rPr>
          <w:rFonts w:cs="Times New Roman"/>
        </w:rPr>
        <w:t>.</w:t>
      </w:r>
    </w:p>
    <w:p w:rsidR="00F74D7D" w:rsidP="0013748A" w:rsidRDefault="00F74D7D" w14:paraId="2049A2E9" w14:textId="6C1E4A9F">
      <w:pPr>
        <w:pStyle w:val="ListParagraph"/>
        <w:numPr>
          <w:ilvl w:val="0"/>
          <w:numId w:val="27"/>
        </w:numPr>
        <w:shd w:val="clear" w:color="auto" w:fill="FFFFFF" w:themeFill="background1"/>
        <w:spacing w:line="240" w:lineRule="auto"/>
        <w:jc w:val="both"/>
        <w:rPr>
          <w:rFonts w:cs="Times New Roman"/>
        </w:rPr>
      </w:pPr>
      <w:r>
        <w:rPr>
          <w:rFonts w:cs="Times New Roman"/>
        </w:rPr>
        <w:t>Formula rate plan (“FRP”) rules.</w:t>
      </w:r>
    </w:p>
    <w:p w:rsidR="00B77161" w:rsidP="0013748A" w:rsidRDefault="00B77161" w14:paraId="160D8D77" w14:textId="693B7E35">
      <w:pPr>
        <w:pStyle w:val="ListParagraph"/>
        <w:numPr>
          <w:ilvl w:val="0"/>
          <w:numId w:val="27"/>
        </w:numPr>
        <w:shd w:val="clear" w:color="auto" w:fill="FFFFFF" w:themeFill="background1"/>
        <w:spacing w:line="240" w:lineRule="auto"/>
        <w:jc w:val="both"/>
        <w:rPr>
          <w:rFonts w:cs="Times New Roman"/>
        </w:rPr>
      </w:pPr>
      <w:r>
        <w:rPr>
          <w:rFonts w:cs="Times New Roman"/>
        </w:rPr>
        <w:t>I</w:t>
      </w:r>
      <w:r w:rsidR="00F74D7D">
        <w:rPr>
          <w:rFonts w:cs="Times New Roman"/>
        </w:rPr>
        <w:t>ntegrated resource plan (“IRP”)</w:t>
      </w:r>
      <w:r w:rsidR="00EE17DC">
        <w:rPr>
          <w:rFonts w:cs="Times New Roman"/>
        </w:rPr>
        <w:t xml:space="preserve"> rules</w:t>
      </w:r>
      <w:r w:rsidR="00F74D7D">
        <w:rPr>
          <w:rFonts w:cs="Times New Roman"/>
        </w:rPr>
        <w:t>.</w:t>
      </w:r>
    </w:p>
    <w:p w:rsidR="00F340AC" w:rsidP="0013748A" w:rsidRDefault="00F340AC" w14:paraId="7B1EE433" w14:textId="71FB596C">
      <w:pPr>
        <w:pStyle w:val="ListParagraph"/>
        <w:numPr>
          <w:ilvl w:val="0"/>
          <w:numId w:val="27"/>
        </w:numPr>
        <w:shd w:val="clear" w:color="auto" w:fill="FFFFFF" w:themeFill="background1"/>
        <w:spacing w:line="240" w:lineRule="auto"/>
        <w:jc w:val="both"/>
        <w:rPr>
          <w:rFonts w:cs="Times New Roman"/>
        </w:rPr>
      </w:pPr>
      <w:r>
        <w:rPr>
          <w:rFonts w:cs="Times New Roman"/>
        </w:rPr>
        <w:t>R</w:t>
      </w:r>
      <w:r w:rsidR="00F74D7D">
        <w:rPr>
          <w:rFonts w:cs="Times New Roman"/>
        </w:rPr>
        <w:t>enewable clean energy portfolio standards (“RCPS”)</w:t>
      </w:r>
      <w:r>
        <w:rPr>
          <w:rFonts w:cs="Times New Roman"/>
        </w:rPr>
        <w:t xml:space="preserve"> rules</w:t>
      </w:r>
      <w:r w:rsidR="00F74D7D">
        <w:rPr>
          <w:rFonts w:cs="Times New Roman"/>
        </w:rPr>
        <w:t>.</w:t>
      </w:r>
    </w:p>
    <w:p w:rsidR="00F340AC" w:rsidP="0013748A" w:rsidRDefault="00F340AC" w14:paraId="3D47DFA8" w14:textId="3D07EDBB">
      <w:pPr>
        <w:pStyle w:val="ListParagraph"/>
        <w:numPr>
          <w:ilvl w:val="0"/>
          <w:numId w:val="27"/>
        </w:numPr>
        <w:shd w:val="clear" w:color="auto" w:fill="FFFFFF" w:themeFill="background1"/>
        <w:spacing w:line="240" w:lineRule="auto"/>
        <w:jc w:val="both"/>
        <w:rPr>
          <w:rFonts w:cs="Times New Roman"/>
        </w:rPr>
      </w:pPr>
      <w:r>
        <w:rPr>
          <w:rFonts w:cs="Times New Roman"/>
        </w:rPr>
        <w:t xml:space="preserve">Community </w:t>
      </w:r>
      <w:r w:rsidR="00F74D7D">
        <w:rPr>
          <w:rFonts w:cs="Times New Roman"/>
        </w:rPr>
        <w:t>s</w:t>
      </w:r>
      <w:r>
        <w:rPr>
          <w:rFonts w:cs="Times New Roman"/>
        </w:rPr>
        <w:t xml:space="preserve">olar </w:t>
      </w:r>
      <w:r w:rsidR="00F74D7D">
        <w:rPr>
          <w:rFonts w:cs="Times New Roman"/>
        </w:rPr>
        <w:t>r</w:t>
      </w:r>
      <w:r>
        <w:rPr>
          <w:rFonts w:cs="Times New Roman"/>
        </w:rPr>
        <w:t>ules</w:t>
      </w:r>
      <w:r w:rsidR="00F74D7D">
        <w:rPr>
          <w:rFonts w:cs="Times New Roman"/>
        </w:rPr>
        <w:t xml:space="preserve"> and program (“CSRP”) rules.</w:t>
      </w:r>
    </w:p>
    <w:p w:rsidR="00B77161" w:rsidP="0013748A" w:rsidRDefault="00B0260E" w14:paraId="092E5101" w14:textId="7AEEC668">
      <w:pPr>
        <w:pStyle w:val="ListParagraph"/>
        <w:numPr>
          <w:ilvl w:val="0"/>
          <w:numId w:val="27"/>
        </w:numPr>
        <w:shd w:val="clear" w:color="auto" w:fill="FFFFFF" w:themeFill="background1"/>
        <w:spacing w:line="240" w:lineRule="auto"/>
        <w:jc w:val="both"/>
        <w:rPr>
          <w:rFonts w:cs="Times New Roman"/>
        </w:rPr>
      </w:pPr>
      <w:r>
        <w:rPr>
          <w:rFonts w:cs="Times New Roman"/>
        </w:rPr>
        <w:t>Protective order</w:t>
      </w:r>
      <w:r w:rsidR="00F74D7D">
        <w:rPr>
          <w:rFonts w:cs="Times New Roman"/>
        </w:rPr>
        <w:t>s.</w:t>
      </w:r>
    </w:p>
    <w:p w:rsidR="00466B7B" w:rsidP="0013748A" w:rsidRDefault="00466B7B" w14:paraId="5A87C180" w14:textId="7E2E0540">
      <w:pPr>
        <w:pStyle w:val="ListParagraph"/>
        <w:numPr>
          <w:ilvl w:val="0"/>
          <w:numId w:val="27"/>
        </w:numPr>
        <w:shd w:val="clear" w:color="auto" w:fill="FFFFFF" w:themeFill="background1"/>
        <w:spacing w:line="240" w:lineRule="auto"/>
        <w:jc w:val="both"/>
        <w:rPr>
          <w:rFonts w:cs="Times New Roman"/>
        </w:rPr>
      </w:pPr>
      <w:r>
        <w:rPr>
          <w:rFonts w:cs="Times New Roman"/>
        </w:rPr>
        <w:t>Net Energy Metering Rules.</w:t>
      </w:r>
    </w:p>
    <w:p w:rsidR="00466B7B" w:rsidP="0013748A" w:rsidRDefault="00466B7B" w14:paraId="02A25762" w14:textId="017FDDBD">
      <w:pPr>
        <w:pStyle w:val="ListParagraph"/>
        <w:numPr>
          <w:ilvl w:val="0"/>
          <w:numId w:val="27"/>
        </w:numPr>
        <w:shd w:val="clear" w:color="auto" w:fill="FFFFFF" w:themeFill="background1"/>
        <w:spacing w:line="240" w:lineRule="auto"/>
        <w:jc w:val="both"/>
        <w:rPr>
          <w:rFonts w:cs="Times New Roman"/>
        </w:rPr>
      </w:pPr>
      <w:r>
        <w:rPr>
          <w:rFonts w:cs="Times New Roman"/>
        </w:rPr>
        <w:t>RFP Rules for Generation Acquisitions</w:t>
      </w:r>
    </w:p>
    <w:p w:rsidR="00466B7B" w:rsidP="009D08D6" w:rsidRDefault="00466B7B" w14:paraId="71B0D42F" w14:textId="2ECAC31D">
      <w:pPr>
        <w:pStyle w:val="Heading2"/>
      </w:pPr>
      <w:bookmarkStart w:name="_Toc205560096" w:id="4"/>
      <w:r>
        <w:t>Section 3.</w:t>
      </w:r>
      <w:r w:rsidR="006B1CF2">
        <w:tab/>
      </w:r>
      <w:r>
        <w:t>Citation</w:t>
      </w:r>
      <w:r w:rsidR="006B1CF2">
        <w:t>.</w:t>
      </w:r>
      <w:bookmarkEnd w:id="4"/>
    </w:p>
    <w:p w:rsidR="00466B7B" w:rsidP="0013748A" w:rsidRDefault="00544A05" w14:paraId="27C8FE1F" w14:textId="23B6E9DB">
      <w:pPr>
        <w:shd w:val="clear" w:color="auto" w:fill="FFFFFF" w:themeFill="background1"/>
        <w:spacing w:line="240" w:lineRule="auto"/>
        <w:jc w:val="both"/>
        <w:rPr>
          <w:rFonts w:cs="Times New Roman"/>
        </w:rPr>
      </w:pPr>
      <w:r>
        <w:rPr>
          <w:rFonts w:cs="Times New Roman"/>
        </w:rPr>
        <w:t>The provisions of this manual</w:t>
      </w:r>
      <w:r w:rsidR="00466B7B">
        <w:rPr>
          <w:rFonts w:cs="Times New Roman"/>
        </w:rPr>
        <w:t xml:space="preserve"> shall be cited in the following format:</w:t>
      </w:r>
    </w:p>
    <w:p w:rsidR="00466B7B" w:rsidP="0070494E" w:rsidRDefault="00466B7B" w14:paraId="2BAE3A3A" w14:textId="0AF20551">
      <w:pPr>
        <w:shd w:val="clear" w:color="auto" w:fill="FFFFFF" w:themeFill="background1"/>
        <w:spacing w:line="240" w:lineRule="auto"/>
        <w:jc w:val="both"/>
        <w:rPr>
          <w:rFonts w:cs="Times New Roman"/>
        </w:rPr>
      </w:pPr>
      <w:r>
        <w:rPr>
          <w:rFonts w:cs="Times New Roman"/>
        </w:rPr>
        <w:t>CCNO Utility Resource Manual [Division #].[Section #].[subsection #](version date).</w:t>
      </w:r>
    </w:p>
    <w:p w:rsidR="00EC6E61" w:rsidP="009D08D6" w:rsidRDefault="00EC6E61" w14:paraId="593F603A" w14:textId="20E29E3B">
      <w:pPr>
        <w:pStyle w:val="Heading2"/>
      </w:pPr>
      <w:bookmarkStart w:name="_Toc205560097" w:id="5"/>
      <w:r>
        <w:t xml:space="preserve">Section </w:t>
      </w:r>
      <w:r w:rsidR="00466B7B">
        <w:t>4</w:t>
      </w:r>
      <w:r>
        <w:t>.</w:t>
      </w:r>
      <w:r w:rsidR="006B1CF2">
        <w:tab/>
      </w:r>
      <w:r>
        <w:t>Definitions.</w:t>
      </w:r>
      <w:bookmarkEnd w:id="5"/>
    </w:p>
    <w:p w:rsidR="002C02F0" w:rsidP="0013748A" w:rsidRDefault="007B741E" w14:paraId="69672E3F" w14:textId="28DD6299">
      <w:pPr>
        <w:shd w:val="clear" w:color="auto" w:fill="FFFFFF" w:themeFill="background1"/>
        <w:spacing w:line="240" w:lineRule="auto"/>
        <w:ind w:left="274"/>
        <w:jc w:val="both"/>
        <w:rPr>
          <w:rFonts w:cs="Times New Roman"/>
        </w:rPr>
      </w:pPr>
      <w:r>
        <w:rPr>
          <w:rFonts w:cs="Times New Roman"/>
        </w:rPr>
        <w:t xml:space="preserve">The terms used in this </w:t>
      </w:r>
      <w:r w:rsidR="00270E86">
        <w:rPr>
          <w:rFonts w:cs="Times New Roman"/>
        </w:rPr>
        <w:t>URM</w:t>
      </w:r>
      <w:r>
        <w:rPr>
          <w:rFonts w:cs="Times New Roman"/>
        </w:rPr>
        <w:t xml:space="preserve"> have the </w:t>
      </w:r>
      <w:r w:rsidR="00D25FF8">
        <w:rPr>
          <w:rFonts w:cs="Times New Roman"/>
        </w:rPr>
        <w:t xml:space="preserve">same </w:t>
      </w:r>
      <w:r>
        <w:rPr>
          <w:rFonts w:cs="Times New Roman"/>
        </w:rPr>
        <w:t>meanings ascribed to them in Section</w:t>
      </w:r>
      <w:r w:rsidR="00D25FF8">
        <w:rPr>
          <w:rFonts w:cs="Times New Roman"/>
        </w:rPr>
        <w:t xml:space="preserve"> 158-45 of the Code of the City of New Orleans</w:t>
      </w:r>
      <w:r>
        <w:rPr>
          <w:rFonts w:cs="Times New Roman"/>
        </w:rPr>
        <w:t>, except when a different meaning is expressly stated or clearly indicated by the context</w:t>
      </w:r>
      <w:r w:rsidR="00EB5892">
        <w:rPr>
          <w:rFonts w:cs="Times New Roman"/>
        </w:rPr>
        <w:t xml:space="preserve"> or as stated in a specific rule</w:t>
      </w:r>
      <w:r>
        <w:rPr>
          <w:rFonts w:cs="Times New Roman"/>
        </w:rPr>
        <w:t>.</w:t>
      </w:r>
    </w:p>
    <w:p w:rsidR="002A76D7" w:rsidRDefault="002A76D7" w14:paraId="58946F94" w14:textId="21EADDEF">
      <w:pPr>
        <w:pStyle w:val="Heading1"/>
        <w:rPr>
          <w:rFonts w:cs="Times New Roman"/>
          <w:bCs/>
        </w:rPr>
        <w:sectPr w:rsidR="002A76D7" w:rsidSect="008C205C">
          <w:pgSz w:w="12240" w:h="15840"/>
          <w:pgMar w:top="1440" w:right="1440" w:bottom="1440" w:left="1440" w:header="720" w:footer="720" w:gutter="0"/>
          <w:pgBorders w:offsetFrom="page">
            <w:left w:val="single" w:color="auto" w:sz="4" w:space="24"/>
          </w:pgBorders>
          <w:cols w:space="720"/>
          <w:docGrid w:linePitch="360"/>
        </w:sectPr>
      </w:pPr>
    </w:p>
    <w:p w:rsidR="00EB5892" w:rsidRDefault="00EB5892" w14:paraId="5704C167" w14:textId="7B50EF32">
      <w:pPr>
        <w:pStyle w:val="Heading1"/>
        <w:rPr>
          <w:rFonts w:cs="Times New Roman"/>
          <w:bCs/>
        </w:rPr>
      </w:pPr>
      <w:r>
        <w:rPr>
          <w:rFonts w:cs="Times New Roman"/>
          <w:bCs/>
        </w:rPr>
        <w:lastRenderedPageBreak/>
        <w:t xml:space="preserve">URM Division II. Customer </w:t>
      </w:r>
      <w:r w:rsidR="005D78AB">
        <w:rPr>
          <w:rFonts w:cs="Times New Roman"/>
          <w:bCs/>
        </w:rPr>
        <w:t>s</w:t>
      </w:r>
      <w:r>
        <w:rPr>
          <w:rFonts w:cs="Times New Roman"/>
          <w:bCs/>
        </w:rPr>
        <w:t xml:space="preserve">ervice </w:t>
      </w:r>
      <w:r w:rsidR="005D78AB">
        <w:rPr>
          <w:rFonts w:cs="Times New Roman"/>
          <w:bCs/>
        </w:rPr>
        <w:t>r</w:t>
      </w:r>
      <w:r>
        <w:rPr>
          <w:rFonts w:cs="Times New Roman"/>
          <w:bCs/>
        </w:rPr>
        <w:t>egulations</w:t>
      </w:r>
      <w:r w:rsidR="00FA4564">
        <w:rPr>
          <w:rFonts w:cs="Times New Roman"/>
          <w:bCs/>
        </w:rPr>
        <w:t xml:space="preserve"> (“Service Regulations”)</w:t>
      </w:r>
      <w:r>
        <w:rPr>
          <w:rFonts w:cs="Times New Roman"/>
          <w:bCs/>
        </w:rPr>
        <w:t>.</w:t>
      </w:r>
    </w:p>
    <w:p w:rsidR="004D206F" w:rsidP="00EB5892" w:rsidRDefault="004D206F" w14:paraId="61F96FA2" w14:textId="6909C435">
      <w:pPr>
        <w:rPr>
          <w:b/>
          <w:bCs/>
        </w:rPr>
      </w:pPr>
      <w:r w:rsidRPr="009D08D6">
        <w:rPr>
          <w:b/>
          <w:bCs/>
        </w:rPr>
        <w:t>Section 1. General</w:t>
      </w:r>
      <w:r>
        <w:rPr>
          <w:b/>
          <w:bCs/>
        </w:rPr>
        <w:t xml:space="preserve"> </w:t>
      </w:r>
    </w:p>
    <w:p w:rsidRPr="00AA346E" w:rsidR="004D206F" w:rsidP="0013748A" w:rsidRDefault="004D206F" w14:paraId="2B51BC82" w14:textId="501C4A31">
      <w:pPr>
        <w:pStyle w:val="ListParagraph"/>
        <w:numPr>
          <w:ilvl w:val="0"/>
          <w:numId w:val="167"/>
        </w:numPr>
        <w:spacing w:line="240" w:lineRule="auto"/>
        <w:jc w:val="both"/>
      </w:pPr>
      <w:r w:rsidRPr="00AA346E">
        <w:t>Each electric or gas utility regulated by the council shall submit for approval a comprehensive set of customer service regulations that detail matters related to service installation and maintenance of service, customer rights and responsibilities, billing and payment matters, special medical/critical customer protections, customer deposits, disconnection procedures and protections and other matters related to the utility</w:t>
      </w:r>
      <w:r w:rsidR="00AA346E">
        <w:t>-</w:t>
      </w:r>
      <w:r w:rsidRPr="00AA346E">
        <w:t xml:space="preserve"> customer relationship.</w:t>
      </w:r>
    </w:p>
    <w:p w:rsidRPr="00AA346E" w:rsidR="004D206F" w:rsidP="0013748A" w:rsidRDefault="00FA4564" w14:paraId="7D36CDA1" w14:textId="113C6853">
      <w:pPr>
        <w:pStyle w:val="ListParagraph"/>
        <w:numPr>
          <w:ilvl w:val="0"/>
          <w:numId w:val="167"/>
        </w:numPr>
        <w:spacing w:line="240" w:lineRule="auto"/>
        <w:jc w:val="both"/>
      </w:pPr>
      <w:r w:rsidRPr="00AA346E">
        <w:t>Each utility is required to post a copy of the Service Regulations on its website and/or other media platforms in an obvious and easy-to-access location for customers.</w:t>
      </w:r>
    </w:p>
    <w:p w:rsidRPr="00AA346E" w:rsidR="00EB5892" w:rsidP="0013748A" w:rsidRDefault="00FA4564" w14:paraId="62690F08" w14:textId="131D9084">
      <w:pPr>
        <w:pStyle w:val="ListParagraph"/>
        <w:numPr>
          <w:ilvl w:val="0"/>
          <w:numId w:val="167"/>
        </w:numPr>
        <w:spacing w:line="240" w:lineRule="auto"/>
        <w:jc w:val="both"/>
      </w:pPr>
      <w:r w:rsidRPr="00AA346E">
        <w:t>Service Regulations may be modified at the direction of, or with the approval of, the council. The utility is required to assure that all modifications are reflected in the publicly available versions of the Service Regulations.</w:t>
      </w:r>
    </w:p>
    <w:p w:rsidR="002A1CB8" w:rsidRDefault="00ED1D2D" w14:paraId="5CF0D3E8" w14:textId="5CD581C3">
      <w:pPr>
        <w:pStyle w:val="Heading1"/>
        <w:rPr>
          <w:rFonts w:cs="Times New Roman"/>
        </w:rPr>
      </w:pPr>
      <w:bookmarkStart w:name="_Toc205560098" w:id="6"/>
      <w:r w:rsidRPr="004E3B85">
        <w:t>URM</w:t>
      </w:r>
      <w:r>
        <w:rPr>
          <w:rFonts w:cs="Times New Roman"/>
          <w:bCs/>
        </w:rPr>
        <w:t xml:space="preserve"> Division </w:t>
      </w:r>
      <w:r w:rsidR="00EB5892">
        <w:rPr>
          <w:rFonts w:cs="Times New Roman"/>
          <w:bCs/>
        </w:rPr>
        <w:t>I</w:t>
      </w:r>
      <w:r w:rsidRPr="008D276F" w:rsidR="008D276F">
        <w:rPr>
          <w:rFonts w:cs="Times New Roman"/>
          <w:bCs/>
        </w:rPr>
        <w:t xml:space="preserve">II. </w:t>
      </w:r>
      <w:r w:rsidR="00B20FCA">
        <w:rPr>
          <w:rFonts w:cs="Times New Roman"/>
          <w:bCs/>
          <w:i/>
          <w:iCs/>
        </w:rPr>
        <w:t xml:space="preserve"> </w:t>
      </w:r>
      <w:r w:rsidR="00A448E4">
        <w:rPr>
          <w:rFonts w:cs="Times New Roman"/>
          <w:bCs/>
        </w:rPr>
        <w:t>Regulatory</w:t>
      </w:r>
      <w:r w:rsidR="00B20FCA">
        <w:rPr>
          <w:rFonts w:cs="Times New Roman"/>
          <w:bCs/>
        </w:rPr>
        <w:t xml:space="preserve"> </w:t>
      </w:r>
      <w:r w:rsidR="005D78AB">
        <w:rPr>
          <w:rFonts w:cs="Times New Roman"/>
          <w:bCs/>
        </w:rPr>
        <w:t>p</w:t>
      </w:r>
      <w:r w:rsidR="00B20FCA">
        <w:rPr>
          <w:rFonts w:cs="Times New Roman"/>
          <w:bCs/>
        </w:rPr>
        <w:t>rocedures</w:t>
      </w:r>
      <w:r w:rsidR="00A448E4">
        <w:rPr>
          <w:rFonts w:cs="Times New Roman"/>
          <w:bCs/>
        </w:rPr>
        <w:t xml:space="preserve"> and </w:t>
      </w:r>
      <w:r w:rsidR="005D78AB">
        <w:rPr>
          <w:rFonts w:cs="Times New Roman"/>
          <w:bCs/>
        </w:rPr>
        <w:t>f</w:t>
      </w:r>
      <w:r w:rsidR="00A448E4">
        <w:rPr>
          <w:rFonts w:cs="Times New Roman"/>
          <w:bCs/>
        </w:rPr>
        <w:t xml:space="preserve">iling </w:t>
      </w:r>
      <w:r w:rsidR="005D78AB">
        <w:rPr>
          <w:rFonts w:cs="Times New Roman"/>
          <w:bCs/>
        </w:rPr>
        <w:t>r</w:t>
      </w:r>
      <w:r w:rsidR="00A448E4">
        <w:rPr>
          <w:rFonts w:cs="Times New Roman"/>
          <w:bCs/>
        </w:rPr>
        <w:t>equirements</w:t>
      </w:r>
      <w:r w:rsidRPr="008D276F" w:rsidR="00AC2257">
        <w:rPr>
          <w:rFonts w:cs="Times New Roman"/>
        </w:rPr>
        <w:t>.</w:t>
      </w:r>
      <w:bookmarkEnd w:id="6"/>
    </w:p>
    <w:p w:rsidR="00C807EC" w:rsidP="007556D8" w:rsidRDefault="00AE75FE" w14:paraId="4649FB0A" w14:textId="77777777">
      <w:pPr>
        <w:pStyle w:val="Heading2"/>
        <w:rPr>
          <w:rFonts w:cs="Times New Roman"/>
        </w:rPr>
      </w:pPr>
      <w:bookmarkStart w:name="_Toc205560099" w:id="7"/>
      <w:r>
        <w:t>Section 1.</w:t>
      </w:r>
      <w:r w:rsidR="00A448E4">
        <w:tab/>
        <w:t>General</w:t>
      </w:r>
      <w:bookmarkEnd w:id="7"/>
      <w:r w:rsidRPr="00C807EC" w:rsidR="00C807EC">
        <w:rPr>
          <w:rFonts w:cs="Times New Roman"/>
        </w:rPr>
        <w:t xml:space="preserve"> </w:t>
      </w:r>
    </w:p>
    <w:p w:rsidR="00C807EC" w:rsidP="00364CF0" w:rsidRDefault="00C807EC" w14:paraId="6F850DFD" w14:textId="2991712B">
      <w:pPr>
        <w:pStyle w:val="ListParagraph"/>
        <w:numPr>
          <w:ilvl w:val="0"/>
          <w:numId w:val="150"/>
        </w:numPr>
        <w:tabs>
          <w:tab w:val="left" w:pos="1080"/>
        </w:tabs>
        <w:spacing w:line="240" w:lineRule="auto"/>
        <w:contextualSpacing w:val="0"/>
        <w:jc w:val="both"/>
        <w:rPr>
          <w:rFonts w:cs="Times New Roman"/>
        </w:rPr>
      </w:pPr>
      <w:r>
        <w:rPr>
          <w:rFonts w:cs="Times New Roman"/>
        </w:rPr>
        <w:t xml:space="preserve">In addition to the provisions of </w:t>
      </w:r>
      <w:r w:rsidR="00270E86">
        <w:rPr>
          <w:rFonts w:cs="Times New Roman"/>
        </w:rPr>
        <w:t xml:space="preserve">Chapter 158 of the Code of the City of New Orleans, and </w:t>
      </w:r>
      <w:r>
        <w:rPr>
          <w:rFonts w:cs="Times New Roman"/>
        </w:rPr>
        <w:t>this URM, u</w:t>
      </w:r>
      <w:r w:rsidRPr="00F92D70">
        <w:rPr>
          <w:rFonts w:cs="Times New Roman"/>
        </w:rPr>
        <w:t xml:space="preserve">tility related </w:t>
      </w:r>
      <w:r>
        <w:rPr>
          <w:rFonts w:cs="Times New Roman"/>
        </w:rPr>
        <w:t>matters</w:t>
      </w:r>
      <w:r w:rsidRPr="00F92D70">
        <w:rPr>
          <w:rFonts w:cs="Times New Roman"/>
        </w:rPr>
        <w:t xml:space="preserve"> are also governed by the Rules and Regulations of the Council of the City of New Orleans (Amended and Restated May 22, 2025) (“Council Rules”). Parties should make themselves familiar with the Council Rules </w:t>
      </w:r>
      <w:r>
        <w:rPr>
          <w:rFonts w:cs="Times New Roman"/>
        </w:rPr>
        <w:t>with</w:t>
      </w:r>
      <w:r w:rsidRPr="00F92D70">
        <w:rPr>
          <w:rFonts w:cs="Times New Roman"/>
        </w:rPr>
        <w:t xml:space="preserve"> particular</w:t>
      </w:r>
      <w:r>
        <w:rPr>
          <w:rFonts w:cs="Times New Roman"/>
        </w:rPr>
        <w:t xml:space="preserve"> attention to</w:t>
      </w:r>
      <w:r w:rsidRPr="00F92D70">
        <w:rPr>
          <w:rFonts w:cs="Times New Roman"/>
        </w:rPr>
        <w:t xml:space="preserve"> Rule 46</w:t>
      </w:r>
      <w:r w:rsidR="00AA346E">
        <w:rPr>
          <w:rFonts w:cs="Times New Roman"/>
        </w:rPr>
        <w:t xml:space="preserve">: </w:t>
      </w:r>
      <w:r w:rsidRPr="00F92D70">
        <w:rPr>
          <w:rFonts w:cs="Times New Roman"/>
        </w:rPr>
        <w:t>Electronic Submissions, Rule 47: Public Comment, Rule 48: Disturbances in Council Chambers, Rule 49: Candor to the Council, and Rule 52: Standards for Electronic Coverage</w:t>
      </w:r>
      <w:r>
        <w:rPr>
          <w:rFonts w:cs="Times New Roman"/>
        </w:rPr>
        <w:t>.</w:t>
      </w:r>
      <w:r w:rsidRPr="00F92D70">
        <w:rPr>
          <w:rFonts w:cs="Times New Roman"/>
        </w:rPr>
        <w:t xml:space="preserve"> </w:t>
      </w:r>
    </w:p>
    <w:p w:rsidR="00C807EC" w:rsidP="00364CF0" w:rsidRDefault="00AA346E" w14:paraId="21027D9E" w14:textId="42078C9C">
      <w:pPr>
        <w:pStyle w:val="ListParagraph"/>
        <w:numPr>
          <w:ilvl w:val="0"/>
          <w:numId w:val="150"/>
        </w:numPr>
        <w:tabs>
          <w:tab w:val="left" w:pos="1080"/>
        </w:tabs>
        <w:spacing w:line="240" w:lineRule="auto"/>
        <w:contextualSpacing w:val="0"/>
        <w:jc w:val="both"/>
        <w:rPr>
          <w:rFonts w:cs="Times New Roman"/>
        </w:rPr>
      </w:pPr>
      <w:r>
        <w:rPr>
          <w:rFonts w:cs="Times New Roman"/>
        </w:rPr>
        <w:t>Whenever a matter is not covered</w:t>
      </w:r>
      <w:r w:rsidR="00C807EC">
        <w:rPr>
          <w:rFonts w:cs="Times New Roman"/>
        </w:rPr>
        <w:t xml:space="preserve"> in Chapter 158 or this URM, or ordered by the council, council utility docket proceedings shall be governed by the Louisiana Code of Civil Procedure and the Louisiana Code of Evidence.</w:t>
      </w:r>
    </w:p>
    <w:p w:rsidR="00C807EC" w:rsidP="00364CF0" w:rsidRDefault="00C807EC" w14:paraId="110CB840" w14:textId="27CC886D">
      <w:pPr>
        <w:pStyle w:val="ListParagraph"/>
        <w:numPr>
          <w:ilvl w:val="0"/>
          <w:numId w:val="150"/>
        </w:numPr>
        <w:tabs>
          <w:tab w:val="left" w:pos="1080"/>
        </w:tabs>
        <w:spacing w:line="240" w:lineRule="auto"/>
        <w:contextualSpacing w:val="0"/>
        <w:jc w:val="both"/>
        <w:rPr>
          <w:rFonts w:cs="Times New Roman"/>
        </w:rPr>
      </w:pPr>
      <w:r>
        <w:rPr>
          <w:rFonts w:cs="Times New Roman"/>
        </w:rPr>
        <w:t xml:space="preserve">Computing time. </w:t>
      </w:r>
      <w:r w:rsidRPr="00C807EC">
        <w:rPr>
          <w:rFonts w:cs="Times New Roman"/>
        </w:rPr>
        <w:t xml:space="preserve">Unless otherwise stated in </w:t>
      </w:r>
      <w:r>
        <w:rPr>
          <w:rFonts w:cs="Times New Roman"/>
        </w:rPr>
        <w:t>C</w:t>
      </w:r>
      <w:r w:rsidRPr="00C807EC">
        <w:rPr>
          <w:rFonts w:cs="Times New Roman"/>
        </w:rPr>
        <w:t>hapter</w:t>
      </w:r>
      <w:r>
        <w:rPr>
          <w:rFonts w:cs="Times New Roman"/>
        </w:rPr>
        <w:t xml:space="preserve"> 158</w:t>
      </w:r>
      <w:r w:rsidRPr="00C807EC">
        <w:rPr>
          <w:rFonts w:cs="Times New Roman"/>
        </w:rPr>
        <w:t>, th</w:t>
      </w:r>
      <w:r>
        <w:rPr>
          <w:rFonts w:cs="Times New Roman"/>
        </w:rPr>
        <w:t>is</w:t>
      </w:r>
      <w:r w:rsidRPr="00C807EC">
        <w:rPr>
          <w:rFonts w:cs="Times New Roman"/>
        </w:rPr>
        <w:t xml:space="preserve"> URM, or ordered by the council, the Louisiana Code of Civil Procedure shall determine the amount of time allowed or prescribed.</w:t>
      </w:r>
    </w:p>
    <w:p w:rsidR="002F7371" w:rsidP="0013748A" w:rsidRDefault="00136A62" w14:paraId="22AFF9CB" w14:textId="04BAC93B">
      <w:pPr>
        <w:pStyle w:val="Heading2"/>
        <w:numPr>
          <w:ilvl w:val="0"/>
          <w:numId w:val="150"/>
        </w:numPr>
        <w:spacing w:line="240" w:lineRule="auto"/>
        <w:jc w:val="both"/>
        <w:rPr>
          <w:rFonts w:cs="Times New Roman"/>
        </w:rPr>
      </w:pPr>
      <w:r w:rsidRPr="002F7371">
        <w:rPr>
          <w:rFonts w:cs="Times New Roman"/>
          <w:b w:val="0"/>
          <w:bCs/>
        </w:rPr>
        <w:t>Electronic submission</w:t>
      </w:r>
      <w:r w:rsidR="005D78AB">
        <w:rPr>
          <w:rFonts w:cs="Times New Roman"/>
          <w:b w:val="0"/>
          <w:bCs/>
        </w:rPr>
        <w:t xml:space="preserve">s. </w:t>
      </w:r>
      <w:r w:rsidRPr="002F7371">
        <w:rPr>
          <w:rFonts w:cs="Times New Roman"/>
          <w:b w:val="0"/>
          <w:bCs/>
        </w:rPr>
        <w:t xml:space="preserve"> </w:t>
      </w:r>
      <w:r w:rsidR="005D78AB">
        <w:rPr>
          <w:rFonts w:cs="Times New Roman"/>
          <w:b w:val="0"/>
          <w:bCs/>
        </w:rPr>
        <w:t>I</w:t>
      </w:r>
      <w:r w:rsidRPr="002F7371">
        <w:rPr>
          <w:rFonts w:cs="Times New Roman"/>
          <w:b w:val="0"/>
          <w:bCs/>
        </w:rPr>
        <w:t xml:space="preserve">n accordance with the Council Rules and Regulations (“Council Rules”) Rule 46.A, except as otherwise expressly provided by law or the Council Rules, any communication or other submission to the Clerk of Council may be made electronically by emailing the submission to the Clerk of Council at </w:t>
      </w:r>
      <w:hyperlink w:history="1" r:id="rId14">
        <w:r w:rsidRPr="002F7371">
          <w:rPr>
            <w:rFonts w:cs="Times New Roman"/>
            <w:b w:val="0"/>
            <w:bCs/>
            <w:color w:val="0563C1" w:themeColor="hyperlink"/>
            <w:u w:val="single"/>
          </w:rPr>
          <w:t>clerkofcouncil@nola.gov</w:t>
        </w:r>
      </w:hyperlink>
      <w:r w:rsidRPr="002F7371">
        <w:rPr>
          <w:rFonts w:cs="Times New Roman"/>
          <w:b w:val="0"/>
          <w:bCs/>
        </w:rPr>
        <w:t>.  In any docketed matter, electronic submissions shall be sent to other parties to the docket by emailing the document to the email address included on the service list for that party</w:t>
      </w:r>
      <w:r w:rsidRPr="007556D8" w:rsidR="007556D8">
        <w:rPr>
          <w:rFonts w:cs="Times New Roman"/>
        </w:rPr>
        <w:t>.</w:t>
      </w:r>
      <w:bookmarkStart w:name="_Toc205560100" w:id="8"/>
    </w:p>
    <w:p w:rsidR="00AE75FE" w:rsidP="002F7371" w:rsidRDefault="00A448E4" w14:paraId="2491D4CE" w14:textId="117077C8">
      <w:pPr>
        <w:pStyle w:val="Heading2"/>
        <w:jc w:val="both"/>
      </w:pPr>
      <w:r>
        <w:t>Section 2.</w:t>
      </w:r>
      <w:r w:rsidR="00AE75FE">
        <w:tab/>
        <w:t>Required content</w:t>
      </w:r>
      <w:r>
        <w:t xml:space="preserve"> </w:t>
      </w:r>
      <w:r w:rsidR="007149BC">
        <w:t>of filings</w:t>
      </w:r>
      <w:r w:rsidR="00AE75FE">
        <w:t>.</w:t>
      </w:r>
      <w:bookmarkEnd w:id="8"/>
    </w:p>
    <w:p w:rsidR="00AE75FE" w:rsidP="009D08D6" w:rsidRDefault="00AE75FE" w14:paraId="7F205B46" w14:textId="4B297674">
      <w:pPr>
        <w:pStyle w:val="ListParagraph"/>
        <w:numPr>
          <w:ilvl w:val="0"/>
          <w:numId w:val="155"/>
        </w:numPr>
        <w:tabs>
          <w:tab w:val="left" w:pos="1080"/>
        </w:tabs>
        <w:spacing w:line="240" w:lineRule="auto"/>
        <w:contextualSpacing w:val="0"/>
        <w:jc w:val="both"/>
      </w:pPr>
      <w:r>
        <w:t>All filings submitted to the council pursuant to Chapter 158 and this URM shall include the following:</w:t>
      </w:r>
    </w:p>
    <w:p w:rsidRPr="009D08D6" w:rsidR="007149BC" w:rsidP="009D08D6" w:rsidRDefault="007149BC" w14:paraId="4FABA153" w14:textId="77777777">
      <w:pPr>
        <w:pStyle w:val="ListParagraph"/>
        <w:numPr>
          <w:ilvl w:val="0"/>
          <w:numId w:val="156"/>
        </w:numPr>
        <w:spacing w:line="240" w:lineRule="auto"/>
        <w:contextualSpacing w:val="0"/>
        <w:jc w:val="both"/>
        <w:rPr>
          <w:rFonts w:cs="Times New Roman"/>
        </w:rPr>
      </w:pPr>
      <w:r w:rsidRPr="00F92D70">
        <w:rPr>
          <w:rFonts w:eastAsia="Times New Roman" w:cs="Times New Roman"/>
          <w:color w:val="000000"/>
        </w:rPr>
        <w:lastRenderedPageBreak/>
        <w:t xml:space="preserve">a </w:t>
      </w:r>
      <w:r w:rsidRPr="009D08D6">
        <w:rPr>
          <w:rFonts w:cs="Times New Roman"/>
        </w:rPr>
        <w:t>cover letter to the clerk as provided in the Council Rules,</w:t>
      </w:r>
    </w:p>
    <w:p w:rsidRPr="009D08D6" w:rsidR="007149BC" w:rsidP="009D08D6" w:rsidRDefault="007149BC" w14:paraId="0658D84E" w14:textId="77777777">
      <w:pPr>
        <w:pStyle w:val="ListParagraph"/>
        <w:numPr>
          <w:ilvl w:val="0"/>
          <w:numId w:val="156"/>
        </w:numPr>
        <w:spacing w:line="240" w:lineRule="auto"/>
        <w:contextualSpacing w:val="0"/>
        <w:jc w:val="both"/>
        <w:rPr>
          <w:rFonts w:cs="Times New Roman"/>
        </w:rPr>
      </w:pPr>
      <w:r w:rsidRPr="009D08D6">
        <w:rPr>
          <w:rFonts w:cs="Times New Roman"/>
        </w:rPr>
        <w:t>the docket number, if applicable,</w:t>
      </w:r>
    </w:p>
    <w:p w:rsidRPr="009D08D6" w:rsidR="007149BC" w:rsidP="009D08D6" w:rsidRDefault="007149BC" w14:paraId="196ED213" w14:textId="77777777">
      <w:pPr>
        <w:pStyle w:val="ListParagraph"/>
        <w:numPr>
          <w:ilvl w:val="0"/>
          <w:numId w:val="156"/>
        </w:numPr>
        <w:spacing w:line="240" w:lineRule="auto"/>
        <w:contextualSpacing w:val="0"/>
        <w:jc w:val="both"/>
        <w:rPr>
          <w:rFonts w:cs="Times New Roman"/>
        </w:rPr>
      </w:pPr>
      <w:r w:rsidRPr="009D08D6">
        <w:rPr>
          <w:rFonts w:cs="Times New Roman"/>
        </w:rPr>
        <w:t>the name(s) of the filing party,</w:t>
      </w:r>
    </w:p>
    <w:p w:rsidRPr="009D08D6" w:rsidR="007149BC" w:rsidP="009D08D6" w:rsidRDefault="007149BC" w14:paraId="4B7DDD0C" w14:textId="77777777">
      <w:pPr>
        <w:pStyle w:val="ListParagraph"/>
        <w:numPr>
          <w:ilvl w:val="0"/>
          <w:numId w:val="156"/>
        </w:numPr>
        <w:spacing w:line="240" w:lineRule="auto"/>
        <w:contextualSpacing w:val="0"/>
        <w:jc w:val="both"/>
        <w:rPr>
          <w:rFonts w:cs="Times New Roman"/>
        </w:rPr>
      </w:pPr>
      <w:r w:rsidRPr="009D08D6">
        <w:rPr>
          <w:rFonts w:cs="Times New Roman"/>
        </w:rPr>
        <w:t>a concise description of the ultimate facts relied upon by the filing party,</w:t>
      </w:r>
    </w:p>
    <w:p w:rsidRPr="00E77211" w:rsidR="007149BC" w:rsidP="009D08D6" w:rsidRDefault="007149BC" w14:paraId="30C14C4E" w14:textId="4F4CF601">
      <w:pPr>
        <w:pStyle w:val="ListParagraph"/>
        <w:numPr>
          <w:ilvl w:val="0"/>
          <w:numId w:val="156"/>
        </w:numPr>
        <w:spacing w:line="240" w:lineRule="auto"/>
        <w:contextualSpacing w:val="0"/>
        <w:jc w:val="both"/>
        <w:rPr>
          <w:rFonts w:cs="Times New Roman"/>
        </w:rPr>
      </w:pPr>
      <w:r w:rsidRPr="009D08D6">
        <w:rPr>
          <w:rFonts w:cs="Times New Roman"/>
        </w:rPr>
        <w:t>a concise description of the type of relief, action or order desired by the filing</w:t>
      </w:r>
      <w:r w:rsidR="00E77211">
        <w:rPr>
          <w:rFonts w:cs="Times New Roman"/>
        </w:rPr>
        <w:t xml:space="preserve"> </w:t>
      </w:r>
      <w:r w:rsidRPr="009D08D6">
        <w:rPr>
          <w:rFonts w:cs="Times New Roman"/>
        </w:rPr>
        <w:t>party</w:t>
      </w:r>
      <w:r w:rsidRPr="009D08D6">
        <w:rPr>
          <w:rFonts w:eastAsia="Times New Roman" w:cs="Times New Roman"/>
          <w:color w:val="000000"/>
        </w:rPr>
        <w:t>, and</w:t>
      </w:r>
    </w:p>
    <w:p w:rsidRPr="009D08D6" w:rsidR="007149BC" w:rsidP="009D08D6" w:rsidRDefault="007149BC" w14:paraId="77D256A3" w14:textId="4A367840">
      <w:pPr>
        <w:pStyle w:val="ListParagraph"/>
        <w:numPr>
          <w:ilvl w:val="0"/>
          <w:numId w:val="156"/>
        </w:numPr>
        <w:spacing w:line="240" w:lineRule="auto"/>
        <w:contextualSpacing w:val="0"/>
        <w:jc w:val="both"/>
        <w:rPr>
          <w:rFonts w:eastAsia="Times New Roman" w:cs="Times New Roman"/>
          <w:color w:val="000000"/>
        </w:rPr>
      </w:pPr>
      <w:r w:rsidRPr="00F92D70">
        <w:rPr>
          <w:rFonts w:eastAsia="Times New Roman" w:cs="Times New Roman"/>
          <w:color w:val="000000"/>
        </w:rPr>
        <w:t>a certificate of service on each party on</w:t>
      </w:r>
      <w:r w:rsidR="00912435">
        <w:rPr>
          <w:rFonts w:eastAsia="Times New Roman" w:cs="Times New Roman"/>
          <w:color w:val="000000"/>
        </w:rPr>
        <w:t xml:space="preserve"> the most recent service</w:t>
      </w:r>
      <w:r w:rsidRPr="00F92D70">
        <w:rPr>
          <w:rFonts w:eastAsia="Times New Roman" w:cs="Times New Roman"/>
          <w:color w:val="000000"/>
        </w:rPr>
        <w:t xml:space="preserve"> </w:t>
      </w:r>
      <w:r w:rsidRPr="009D08D6">
        <w:rPr>
          <w:rFonts w:cs="Times New Roman"/>
        </w:rPr>
        <w:t>list</w:t>
      </w:r>
      <w:r w:rsidRPr="00F92D70">
        <w:rPr>
          <w:rFonts w:eastAsia="Times New Roman" w:cs="Times New Roman"/>
          <w:color w:val="000000"/>
        </w:rPr>
        <w:t>.</w:t>
      </w:r>
    </w:p>
    <w:p w:rsidRPr="00F92D70" w:rsidR="007149BC" w:rsidP="007149BC" w:rsidRDefault="007149BC" w14:paraId="5B529384" w14:textId="77777777">
      <w:pPr>
        <w:pStyle w:val="ListParagraph"/>
        <w:numPr>
          <w:ilvl w:val="0"/>
          <w:numId w:val="155"/>
        </w:numPr>
        <w:tabs>
          <w:tab w:val="left" w:pos="1080"/>
        </w:tabs>
        <w:spacing w:line="240" w:lineRule="auto"/>
        <w:contextualSpacing w:val="0"/>
        <w:jc w:val="both"/>
        <w:rPr>
          <w:color w:val="000000"/>
        </w:rPr>
      </w:pPr>
      <w:r w:rsidRPr="009D08D6">
        <w:t>Every</w:t>
      </w:r>
      <w:r w:rsidRPr="00F92D70">
        <w:rPr>
          <w:color w:val="000000"/>
        </w:rPr>
        <w:t xml:space="preserve"> </w:t>
      </w:r>
      <w:r>
        <w:rPr>
          <w:color w:val="000000"/>
        </w:rPr>
        <w:t>filing</w:t>
      </w:r>
      <w:r w:rsidRPr="00F92D70">
        <w:rPr>
          <w:color w:val="000000"/>
        </w:rPr>
        <w:t xml:space="preserve"> of a party represented by an attorney shall be signed by at least one attorney of record, whose physical address and email address for service of process shall be stated. A party who is not represented by an attorney shall sign the pleading and provide a physical address and email address, if the </w:t>
      </w:r>
      <w:r w:rsidRPr="009D08D6">
        <w:t>party</w:t>
      </w:r>
      <w:r w:rsidRPr="00F92D70">
        <w:rPr>
          <w:color w:val="000000"/>
        </w:rPr>
        <w:t xml:space="preserve"> has an email address, for service of process. If mail is not received at the physical address for service of process, a designated mailing address shall also be provided. A party or attorney may sign a pleading by electronic signature.  </w:t>
      </w:r>
    </w:p>
    <w:p w:rsidR="007149BC" w:rsidP="007149BC" w:rsidRDefault="007149BC" w14:paraId="18D76ACB" w14:textId="4900207A">
      <w:pPr>
        <w:pStyle w:val="ListParagraph"/>
        <w:numPr>
          <w:ilvl w:val="0"/>
          <w:numId w:val="155"/>
        </w:numPr>
        <w:tabs>
          <w:tab w:val="left" w:pos="1080"/>
        </w:tabs>
        <w:spacing w:line="240" w:lineRule="auto"/>
        <w:contextualSpacing w:val="0"/>
        <w:jc w:val="both"/>
        <w:rPr>
          <w:color w:val="000000"/>
        </w:rPr>
      </w:pPr>
      <w:r>
        <w:rPr>
          <w:color w:val="000000"/>
        </w:rPr>
        <w:t>Interventions.</w:t>
      </w:r>
      <w:r w:rsidR="00E77211">
        <w:rPr>
          <w:color w:val="000000"/>
        </w:rPr>
        <w:t xml:space="preserve"> </w:t>
      </w:r>
      <w:r w:rsidRPr="009D08D6" w:rsidR="00E77211">
        <w:rPr>
          <w:color w:val="000000"/>
        </w:rPr>
        <w:t>Any party in interest may appear in any proceeding before the council under this article. All appearances shall be subject to a motion to strike upon a showing that the party has no justiciable or administratively cognizable interest in the proceeding</w:t>
      </w:r>
      <w:r w:rsidR="00364CF0">
        <w:rPr>
          <w:color w:val="000000"/>
        </w:rPr>
        <w:t>.</w:t>
      </w:r>
      <w:r w:rsidRPr="009D08D6" w:rsidR="00E77211">
        <w:rPr>
          <w:color w:val="000000"/>
        </w:rPr>
        <w:t xml:space="preserve"> </w:t>
      </w:r>
      <w:r w:rsidR="00E77211">
        <w:rPr>
          <w:color w:val="000000"/>
        </w:rPr>
        <w:t>In addition to the requirements of paragraph (a), all motions to intervene must include:</w:t>
      </w:r>
    </w:p>
    <w:p w:rsidR="00E77211" w:rsidP="00E77211" w:rsidRDefault="00E77211" w14:paraId="7C738259" w14:textId="4D04DB6A">
      <w:pPr>
        <w:pStyle w:val="ListParagraph"/>
        <w:numPr>
          <w:ilvl w:val="0"/>
          <w:numId w:val="164"/>
        </w:numPr>
        <w:spacing w:line="240" w:lineRule="auto"/>
        <w:contextualSpacing w:val="0"/>
        <w:jc w:val="both"/>
        <w:rPr>
          <w:color w:val="000000"/>
        </w:rPr>
      </w:pPr>
      <w:r>
        <w:rPr>
          <w:color w:val="000000"/>
        </w:rPr>
        <w:t>A statement of the interest of the party in the proceeding</w:t>
      </w:r>
      <w:r w:rsidR="005D78AB">
        <w:rPr>
          <w:color w:val="000000"/>
        </w:rPr>
        <w:t>.</w:t>
      </w:r>
    </w:p>
    <w:p w:rsidR="00E77211" w:rsidP="00E77211" w:rsidRDefault="00E77211" w14:paraId="1CBDF885" w14:textId="2D41CEE1">
      <w:pPr>
        <w:pStyle w:val="ListParagraph"/>
        <w:numPr>
          <w:ilvl w:val="0"/>
          <w:numId w:val="164"/>
        </w:numPr>
        <w:spacing w:line="240" w:lineRule="auto"/>
        <w:contextualSpacing w:val="0"/>
        <w:jc w:val="both"/>
        <w:rPr>
          <w:color w:val="000000"/>
        </w:rPr>
      </w:pPr>
      <w:r>
        <w:rPr>
          <w:color w:val="000000"/>
        </w:rPr>
        <w:t>The name, address, email address and telephone number of the individuals to be placed on the service list as representatives of the party</w:t>
      </w:r>
      <w:r w:rsidR="005D78AB">
        <w:rPr>
          <w:color w:val="000000"/>
        </w:rPr>
        <w:t>.</w:t>
      </w:r>
    </w:p>
    <w:p w:rsidRPr="009D08D6" w:rsidR="00A0062B" w:rsidP="009D08D6" w:rsidRDefault="00E77211" w14:paraId="257FC029" w14:textId="08DA216E">
      <w:pPr>
        <w:pStyle w:val="ListParagraph"/>
        <w:numPr>
          <w:ilvl w:val="0"/>
          <w:numId w:val="164"/>
        </w:numPr>
        <w:spacing w:line="240" w:lineRule="auto"/>
        <w:contextualSpacing w:val="0"/>
        <w:jc w:val="both"/>
        <w:rPr>
          <w:color w:val="000000"/>
        </w:rPr>
      </w:pPr>
      <w:r>
        <w:rPr>
          <w:color w:val="000000"/>
        </w:rPr>
        <w:t>Where the party is appearing through a representative the party must identify the representative and include a statement signed by the representative and the party or a registered agent of the party.</w:t>
      </w:r>
    </w:p>
    <w:p w:rsidRPr="00F92D70" w:rsidR="007149BC" w:rsidP="009D08D6" w:rsidRDefault="007149BC" w14:paraId="3BCD559F" w14:textId="3FCE0774">
      <w:pPr>
        <w:pStyle w:val="Heading2"/>
        <w:jc w:val="both"/>
        <w:rPr>
          <w:color w:val="000000"/>
        </w:rPr>
      </w:pPr>
      <w:bookmarkStart w:name="_Toc205560101" w:id="9"/>
      <w:r>
        <w:rPr>
          <w:color w:val="000000"/>
        </w:rPr>
        <w:t>Section 3.</w:t>
      </w:r>
      <w:r w:rsidR="00E6144E">
        <w:rPr>
          <w:color w:val="000000"/>
        </w:rPr>
        <w:tab/>
      </w:r>
      <w:r>
        <w:rPr>
          <w:color w:val="000000"/>
        </w:rPr>
        <w:t>Required format of filings.</w:t>
      </w:r>
      <w:bookmarkEnd w:id="9"/>
    </w:p>
    <w:p w:rsidRPr="00880DE5" w:rsidR="007149BC" w:rsidP="00880DE5" w:rsidRDefault="007149BC" w14:paraId="064E526C" w14:textId="40981AD4">
      <w:pPr>
        <w:pStyle w:val="ListParagraph"/>
        <w:tabs>
          <w:tab w:val="left" w:pos="1080"/>
        </w:tabs>
        <w:spacing w:line="240" w:lineRule="auto"/>
        <w:ind w:left="1080"/>
        <w:contextualSpacing w:val="0"/>
        <w:jc w:val="both"/>
      </w:pPr>
      <w:r w:rsidRPr="00F92D70">
        <w:rPr>
          <w:rFonts w:cs="Times New Roman"/>
        </w:rPr>
        <w:t xml:space="preserve">Format. All filings in any proceeding shall, unless the council otherwise orders or permits, be double spaced, typed, and submitted electronically. Except as otherwise ordered or permitted by the council, </w:t>
      </w:r>
      <w:r w:rsidRPr="009D08D6">
        <w:rPr>
          <w:color w:val="000000"/>
        </w:rPr>
        <w:t>all</w:t>
      </w:r>
      <w:r w:rsidRPr="00F92D70">
        <w:rPr>
          <w:rFonts w:cs="Times New Roman"/>
        </w:rPr>
        <w:t xml:space="preserve"> filings shall be formatted so as not to exceed a width of 8</w:t>
      </w:r>
      <w:r w:rsidR="000F7D40">
        <w:rPr>
          <w:rFonts w:cs="Times New Roman"/>
        </w:rPr>
        <w:t>-1</w:t>
      </w:r>
      <w:r w:rsidRPr="00F92D70">
        <w:rPr>
          <w:rFonts w:cs="Times New Roman"/>
        </w:rPr>
        <w:t xml:space="preserve">/2 inches and a length of 14 inches and shall have inside margins not less than one inch wide. </w:t>
      </w:r>
      <w:r w:rsidR="005D78AB">
        <w:rPr>
          <w:rFonts w:cs="Times New Roman"/>
        </w:rPr>
        <w:t xml:space="preserve">Pages should be numbered. </w:t>
      </w:r>
      <w:r w:rsidRPr="00F92D70">
        <w:rPr>
          <w:rFonts w:cs="Times New Roman"/>
        </w:rPr>
        <w:t>Whenever practical, all documentary exhibits shall conform to such requirements of size and margin. All filings shall contain the address and telephone number of the party submitting the document. If a party is represented by an attorney or other representative, the filing shall also include the name, business address and telephone number of such attorney or other representative. Attorneys shall also attach their state bar association number. A private or United States Post Office Box or drawer shall not constitute a sufficient address for the purposes of this section.</w:t>
      </w:r>
    </w:p>
    <w:p w:rsidRPr="00D1123E" w:rsidR="00880DE5" w:rsidP="00880DE5" w:rsidRDefault="00880DE5" w14:paraId="217DF401" w14:textId="0A2E4C63">
      <w:pPr>
        <w:pStyle w:val="Heading2"/>
      </w:pPr>
      <w:bookmarkStart w:name="_Toc205560105" w:id="10"/>
      <w:r>
        <w:lastRenderedPageBreak/>
        <w:t>Section 4.</w:t>
      </w:r>
      <w:r>
        <w:tab/>
      </w:r>
      <w:r w:rsidRPr="00D1123E">
        <w:t>Discovery instructions.</w:t>
      </w:r>
      <w:bookmarkEnd w:id="10"/>
    </w:p>
    <w:p w:rsidRPr="00880DE5" w:rsidR="00880DE5" w:rsidP="0013748A" w:rsidRDefault="00880DE5" w14:paraId="7806973D" w14:textId="411E3756">
      <w:pPr>
        <w:pStyle w:val="ListParagraph"/>
        <w:numPr>
          <w:ilvl w:val="0"/>
          <w:numId w:val="161"/>
        </w:numPr>
        <w:spacing w:after="0" w:line="240" w:lineRule="auto"/>
        <w:jc w:val="both"/>
        <w:rPr>
          <w:rFonts w:cs="Times New Roman"/>
        </w:rPr>
      </w:pPr>
      <w:r w:rsidRPr="00880DE5">
        <w:rPr>
          <w:rFonts w:cs="Times New Roman"/>
        </w:rPr>
        <w:t xml:space="preserve">Parties to proceedings under this </w:t>
      </w:r>
      <w:r>
        <w:rPr>
          <w:rFonts w:cs="Times New Roman"/>
        </w:rPr>
        <w:t xml:space="preserve">division </w:t>
      </w:r>
      <w:r w:rsidRPr="00880DE5">
        <w:rPr>
          <w:rFonts w:cs="Times New Roman"/>
        </w:rPr>
        <w:t>are entitled to issue discovery requests as provided below:</w:t>
      </w:r>
    </w:p>
    <w:p w:rsidRPr="00880DE5" w:rsidR="00880DE5" w:rsidP="0013748A" w:rsidRDefault="00880DE5" w14:paraId="2FE4E6F0" w14:textId="77777777">
      <w:pPr>
        <w:pStyle w:val="ListParagraph"/>
        <w:spacing w:after="0" w:line="240" w:lineRule="auto"/>
        <w:ind w:left="1080"/>
        <w:jc w:val="both"/>
        <w:rPr>
          <w:rFonts w:cs="Times New Roman"/>
        </w:rPr>
      </w:pPr>
      <w:r w:rsidRPr="00880DE5">
        <w:rPr>
          <w:rFonts w:cs="Times New Roman"/>
        </w:rPr>
        <w:t>1.</w:t>
      </w:r>
      <w:r w:rsidRPr="00880DE5">
        <w:rPr>
          <w:rFonts w:cs="Times New Roman"/>
        </w:rPr>
        <w:tab/>
        <w:t xml:space="preserve">Data requests, interrogatories, and requests for production of documents or any other discovery requests (collectively “Requests” or individually “Request”) call for all information, including information contained in documents, which is known or available to the responders(s) in the proceeding. </w:t>
      </w:r>
    </w:p>
    <w:p w:rsidRPr="00880DE5" w:rsidR="00880DE5" w:rsidP="0013748A" w:rsidRDefault="00880DE5" w14:paraId="7B7C4EB0" w14:textId="77777777">
      <w:pPr>
        <w:pStyle w:val="ListParagraph"/>
        <w:spacing w:after="0" w:line="240" w:lineRule="auto"/>
        <w:ind w:left="1080"/>
        <w:jc w:val="both"/>
        <w:rPr>
          <w:rFonts w:cs="Times New Roman"/>
        </w:rPr>
      </w:pPr>
      <w:r w:rsidRPr="00880DE5">
        <w:rPr>
          <w:rFonts w:cs="Times New Roman"/>
        </w:rPr>
        <w:t>2.</w:t>
      </w:r>
      <w:r w:rsidRPr="00880DE5">
        <w:rPr>
          <w:rFonts w:cs="Times New Roman"/>
        </w:rPr>
        <w:tab/>
        <w:t>Where a Request has a number of separate parts, subparts, or aspects, a complete response is required to each part or aspect.  The response should separately address each part or subpart by its individual designation, e.g., CNO 3-1) (A), (CNO 3-1) (B), etc.  Any objection to a part, subpart, or aspect of a Request should clearly indicate the part, subpart, or aspect to which it is directed.</w:t>
      </w:r>
    </w:p>
    <w:p w:rsidRPr="00880DE5" w:rsidR="00880DE5" w:rsidP="0013748A" w:rsidRDefault="00880DE5" w14:paraId="6AE3BD68" w14:textId="77777777">
      <w:pPr>
        <w:pStyle w:val="ListParagraph"/>
        <w:spacing w:after="0" w:line="240" w:lineRule="auto"/>
        <w:ind w:left="1080"/>
        <w:jc w:val="both"/>
        <w:rPr>
          <w:rFonts w:cs="Times New Roman"/>
        </w:rPr>
      </w:pPr>
      <w:r w:rsidRPr="00880DE5">
        <w:rPr>
          <w:rFonts w:cs="Times New Roman"/>
        </w:rPr>
        <w:t>3.</w:t>
      </w:r>
      <w:r w:rsidRPr="00880DE5">
        <w:rPr>
          <w:rFonts w:cs="Times New Roman"/>
        </w:rPr>
        <w:tab/>
        <w:t xml:space="preserve">If a Request specifically seeks an answer in response that is not contained in a referenced document, an answer is required.  </w:t>
      </w:r>
    </w:p>
    <w:p w:rsidRPr="00880DE5" w:rsidR="00880DE5" w:rsidP="0013748A" w:rsidRDefault="00880DE5" w14:paraId="3DE62835" w14:textId="77777777">
      <w:pPr>
        <w:pStyle w:val="ListParagraph"/>
        <w:spacing w:after="0" w:line="240" w:lineRule="auto"/>
        <w:ind w:left="1080"/>
        <w:jc w:val="both"/>
        <w:rPr>
          <w:rFonts w:cs="Times New Roman"/>
        </w:rPr>
      </w:pPr>
      <w:r w:rsidRPr="00880DE5">
        <w:rPr>
          <w:rFonts w:cs="Times New Roman"/>
        </w:rPr>
        <w:t>4.</w:t>
      </w:r>
      <w:r w:rsidRPr="00880DE5">
        <w:rPr>
          <w:rFonts w:cs="Times New Roman"/>
        </w:rPr>
        <w:tab/>
        <w:t xml:space="preserve">The person who prepares and is responsible for providing the response on behalf of the responding party should be identified on the response (“Responder”).  </w:t>
      </w:r>
    </w:p>
    <w:p w:rsidR="00880DE5" w:rsidP="0013748A" w:rsidRDefault="00880DE5" w14:paraId="41A1429C" w14:textId="77777777">
      <w:pPr>
        <w:pStyle w:val="ListParagraph"/>
        <w:spacing w:after="0" w:line="240" w:lineRule="auto"/>
        <w:ind w:left="1080"/>
        <w:jc w:val="both"/>
      </w:pPr>
      <w:r w:rsidRPr="00880DE5">
        <w:rPr>
          <w:rFonts w:cs="Times New Roman"/>
        </w:rPr>
        <w:t>5.</w:t>
      </w:r>
      <w:r w:rsidRPr="00880DE5">
        <w:rPr>
          <w:rFonts w:cs="Times New Roman"/>
        </w:rPr>
        <w:tab/>
        <w:t>If a Request can be answered in whole or in part by reference to the response to another Request served in the proceeding, it is sufficient to so indicate by specifying the other response or part or aspect thereof which is responsive to the instant Request and by specifying whether the response to the other request is a full or partial response to the instant Request.  If the response to the other Request constitutes a partial response, the balance of the instant Request must be answered.</w:t>
      </w:r>
    </w:p>
    <w:p w:rsidRPr="00880DE5" w:rsidR="00880DE5" w:rsidP="0013748A" w:rsidRDefault="00880DE5" w14:paraId="62852DD7" w14:textId="77777777">
      <w:pPr>
        <w:pStyle w:val="ListParagraph"/>
        <w:spacing w:after="0" w:line="240" w:lineRule="auto"/>
        <w:ind w:left="1080"/>
        <w:jc w:val="both"/>
        <w:rPr>
          <w:rFonts w:cs="Times New Roman"/>
        </w:rPr>
      </w:pPr>
      <w:r w:rsidRPr="00880DE5">
        <w:rPr>
          <w:rFonts w:cs="Times New Roman"/>
        </w:rPr>
        <w:t>6.</w:t>
      </w:r>
      <w:r w:rsidRPr="00880DE5">
        <w:rPr>
          <w:rFonts w:cs="Times New Roman"/>
        </w:rPr>
        <w:tab/>
        <w:t>If a Request cannot be answered in full after exercise of due diligence to secure the information requested, Responder shall state the answer to the extent possible, state why the Request cannot be answered in full, and state what information or knowledge you is available concerning the unanswered portions.</w:t>
      </w:r>
    </w:p>
    <w:p w:rsidRPr="00880DE5" w:rsidR="00880DE5" w:rsidP="0013748A" w:rsidRDefault="00880DE5" w14:paraId="2A3C82C6" w14:textId="77777777">
      <w:pPr>
        <w:pStyle w:val="ListParagraph"/>
        <w:spacing w:after="0" w:line="240" w:lineRule="auto"/>
        <w:ind w:left="1080"/>
        <w:jc w:val="both"/>
        <w:rPr>
          <w:rFonts w:cs="Times New Roman"/>
        </w:rPr>
      </w:pPr>
      <w:r w:rsidRPr="00880DE5">
        <w:rPr>
          <w:rFonts w:cs="Times New Roman"/>
        </w:rPr>
        <w:t>7.</w:t>
      </w:r>
      <w:r w:rsidRPr="00880DE5">
        <w:rPr>
          <w:rFonts w:cs="Times New Roman"/>
        </w:rPr>
        <w:tab/>
        <w:t>If, in answering any of these Requests, Responder maintains that a Request or instruction applicable thereto is ambiguous, Responder shall set forth the language that is considered ambiguous and the interpretation being used in responding to the Request.</w:t>
      </w:r>
    </w:p>
    <w:p w:rsidRPr="00880DE5" w:rsidR="00880DE5" w:rsidP="0013748A" w:rsidRDefault="00880DE5" w14:paraId="6E71AE75" w14:textId="77777777">
      <w:pPr>
        <w:pStyle w:val="ListParagraph"/>
        <w:spacing w:after="0" w:line="240" w:lineRule="auto"/>
        <w:ind w:left="1080"/>
        <w:jc w:val="both"/>
        <w:rPr>
          <w:rFonts w:cs="Times New Roman"/>
        </w:rPr>
      </w:pPr>
      <w:r w:rsidRPr="00880DE5">
        <w:rPr>
          <w:rFonts w:cs="Times New Roman"/>
        </w:rPr>
        <w:t>8.</w:t>
      </w:r>
      <w:r w:rsidRPr="00880DE5">
        <w:rPr>
          <w:rFonts w:cs="Times New Roman"/>
        </w:rPr>
        <w:tab/>
        <w:t>If a document requested is unavailable, Responder shall identify the document, describe in detail the reasons that the document is unavailable, state where the document can be obtained, and specify the number of pages it contains.</w:t>
      </w:r>
    </w:p>
    <w:p w:rsidRPr="00880DE5" w:rsidR="00880DE5" w:rsidP="0013748A" w:rsidRDefault="00880DE5" w14:paraId="1A3EB81D" w14:textId="77777777">
      <w:pPr>
        <w:pStyle w:val="ListParagraph"/>
        <w:spacing w:after="0" w:line="240" w:lineRule="auto"/>
        <w:ind w:left="1080"/>
        <w:jc w:val="both"/>
        <w:rPr>
          <w:rFonts w:cs="Times New Roman"/>
        </w:rPr>
      </w:pPr>
      <w:r w:rsidRPr="00880DE5">
        <w:rPr>
          <w:rFonts w:cs="Times New Roman"/>
        </w:rPr>
        <w:t>9.</w:t>
      </w:r>
      <w:r w:rsidRPr="00880DE5">
        <w:rPr>
          <w:rFonts w:cs="Times New Roman"/>
        </w:rPr>
        <w:tab/>
        <w:t>If no existing document is responsive to a Request that calls for a document, Responder shall so state and the Request should be treated as an interrogatory.</w:t>
      </w:r>
    </w:p>
    <w:p w:rsidRPr="00880DE5" w:rsidR="00880DE5" w:rsidP="0013748A" w:rsidRDefault="00880DE5" w14:paraId="732A02E1" w14:textId="77777777">
      <w:pPr>
        <w:pStyle w:val="ListParagraph"/>
        <w:spacing w:after="0" w:line="240" w:lineRule="auto"/>
        <w:ind w:left="1080"/>
        <w:jc w:val="both"/>
        <w:rPr>
          <w:rFonts w:cs="Times New Roman"/>
        </w:rPr>
      </w:pPr>
      <w:r w:rsidRPr="00880DE5">
        <w:rPr>
          <w:rFonts w:cs="Times New Roman"/>
        </w:rPr>
        <w:t>10.</w:t>
      </w:r>
      <w:r w:rsidRPr="00880DE5">
        <w:rPr>
          <w:rFonts w:cs="Times New Roman"/>
        </w:rPr>
        <w:tab/>
        <w:t>Responders have an ongoing obligation as to all  responses to  amend or supplement if any person answering the Requests obtains any information upon which: (a) the party making the response knows that it was incorrect  when made; or (b) the party making the response knows that the response, though correct when made, is no longer true or is misleading.</w:t>
      </w:r>
    </w:p>
    <w:p w:rsidRPr="00880DE5" w:rsidR="00880DE5" w:rsidP="0013748A" w:rsidRDefault="00880DE5" w14:paraId="2DBD637B" w14:textId="77777777">
      <w:pPr>
        <w:pStyle w:val="ListParagraph"/>
        <w:spacing w:after="0" w:line="240" w:lineRule="auto"/>
        <w:ind w:left="1080"/>
        <w:jc w:val="both"/>
        <w:rPr>
          <w:rFonts w:cs="Times New Roman"/>
        </w:rPr>
      </w:pPr>
      <w:r w:rsidRPr="00880DE5">
        <w:rPr>
          <w:rFonts w:cs="Times New Roman"/>
        </w:rPr>
        <w:t>11.</w:t>
      </w:r>
      <w:r w:rsidRPr="00880DE5">
        <w:rPr>
          <w:rFonts w:cs="Times New Roman"/>
        </w:rPr>
        <w:tab/>
        <w:t>All Requests are considered to be continuing in nature and thereby Responders are required to produce by supplemental or amended responses any information or documents within the scope of the Request that Responder obtains, acquires, or discovers subsequent to the initial response to the Request.</w:t>
      </w:r>
    </w:p>
    <w:p w:rsidRPr="007149BC" w:rsidR="00880DE5" w:rsidP="00880DE5" w:rsidRDefault="00880DE5" w14:paraId="401CF434" w14:textId="77777777">
      <w:pPr>
        <w:pStyle w:val="ListParagraph"/>
        <w:tabs>
          <w:tab w:val="left" w:pos="1080"/>
        </w:tabs>
        <w:spacing w:line="240" w:lineRule="auto"/>
        <w:ind w:left="1080"/>
        <w:contextualSpacing w:val="0"/>
        <w:jc w:val="both"/>
      </w:pPr>
    </w:p>
    <w:p w:rsidR="007149BC" w:rsidP="007149BC" w:rsidRDefault="007149BC" w14:paraId="22E9F944" w14:textId="2FE6E8BC">
      <w:pPr>
        <w:pStyle w:val="Heading2"/>
      </w:pPr>
      <w:bookmarkStart w:name="_Toc205560102" w:id="11"/>
      <w:r>
        <w:lastRenderedPageBreak/>
        <w:t xml:space="preserve">Section </w:t>
      </w:r>
      <w:r w:rsidR="00364CF0">
        <w:t>5</w:t>
      </w:r>
      <w:r w:rsidR="0070494E">
        <w:t>.</w:t>
      </w:r>
      <w:r w:rsidR="00E6144E">
        <w:tab/>
      </w:r>
      <w:r>
        <w:t xml:space="preserve">Order of </w:t>
      </w:r>
      <w:r w:rsidR="00880DE5">
        <w:t>p</w:t>
      </w:r>
      <w:r w:rsidR="005D78AB">
        <w:t xml:space="preserve">resentation at </w:t>
      </w:r>
      <w:r w:rsidR="00880DE5">
        <w:t>h</w:t>
      </w:r>
      <w:r>
        <w:t>earing.</w:t>
      </w:r>
      <w:bookmarkEnd w:id="11"/>
    </w:p>
    <w:p w:rsidRPr="007149BC" w:rsidR="000373AB" w:rsidP="009D08D6" w:rsidRDefault="0070494E" w14:paraId="53E2C31A" w14:textId="786E46F2">
      <w:pPr>
        <w:tabs>
          <w:tab w:val="left" w:pos="1080"/>
        </w:tabs>
        <w:spacing w:line="240" w:lineRule="auto"/>
        <w:ind w:left="720"/>
        <w:jc w:val="both"/>
      </w:pPr>
      <w:r>
        <w:rPr>
          <w:rFonts w:cs="Times New Roman"/>
        </w:rPr>
        <w:tab/>
      </w:r>
      <w:r w:rsidRPr="000373AB" w:rsidR="007149BC">
        <w:rPr>
          <w:rFonts w:cs="Times New Roman"/>
        </w:rPr>
        <w:t xml:space="preserve">Unless otherwise stated in Chapter 158 or this URM, or ordered by the council, the </w:t>
      </w:r>
      <w:r>
        <w:rPr>
          <w:rFonts w:cs="Times New Roman"/>
        </w:rPr>
        <w:tab/>
      </w:r>
      <w:r w:rsidRPr="000373AB" w:rsidR="007149BC">
        <w:rPr>
          <w:rFonts w:cs="Times New Roman"/>
        </w:rPr>
        <w:t xml:space="preserve">order of hearing </w:t>
      </w:r>
      <w:r w:rsidR="005D78AB">
        <w:rPr>
          <w:rFonts w:cs="Times New Roman"/>
        </w:rPr>
        <w:t xml:space="preserve">presentations </w:t>
      </w:r>
      <w:r w:rsidRPr="000373AB" w:rsidR="007149BC">
        <w:rPr>
          <w:rFonts w:cs="Times New Roman"/>
        </w:rPr>
        <w:t>shall be</w:t>
      </w:r>
      <w:r w:rsidRPr="000373AB" w:rsidR="000373AB">
        <w:rPr>
          <w:rFonts w:cs="Times New Roman"/>
        </w:rPr>
        <w:t xml:space="preserve"> established by the hearing officer prior to </w:t>
      </w:r>
      <w:r>
        <w:rPr>
          <w:rFonts w:cs="Times New Roman"/>
        </w:rPr>
        <w:tab/>
      </w:r>
      <w:r w:rsidRPr="000373AB" w:rsidR="000373AB">
        <w:rPr>
          <w:rFonts w:cs="Times New Roman"/>
        </w:rPr>
        <w:t xml:space="preserve">commencement of the hearing. The order of hearing may be varied by the hearing </w:t>
      </w:r>
      <w:r>
        <w:rPr>
          <w:rFonts w:cs="Times New Roman"/>
        </w:rPr>
        <w:tab/>
      </w:r>
      <w:r w:rsidRPr="000373AB" w:rsidR="000373AB">
        <w:rPr>
          <w:rFonts w:cs="Times New Roman"/>
        </w:rPr>
        <w:t xml:space="preserve">officer when the circumstances so justify. The hearing officer may grant additional </w:t>
      </w:r>
      <w:r>
        <w:rPr>
          <w:rFonts w:cs="Times New Roman"/>
        </w:rPr>
        <w:tab/>
      </w:r>
      <w:r w:rsidRPr="000373AB" w:rsidR="000373AB">
        <w:rPr>
          <w:rFonts w:cs="Times New Roman"/>
        </w:rPr>
        <w:t xml:space="preserve">opportunities for the presentation of evidence and for argument only where good cause </w:t>
      </w:r>
      <w:r>
        <w:rPr>
          <w:rFonts w:cs="Times New Roman"/>
        </w:rPr>
        <w:tab/>
      </w:r>
      <w:r w:rsidRPr="000373AB" w:rsidR="000373AB">
        <w:rPr>
          <w:rFonts w:cs="Times New Roman"/>
        </w:rPr>
        <w:t xml:space="preserve">is shown for such additional evidence and argument.  </w:t>
      </w:r>
    </w:p>
    <w:p w:rsidRPr="004E3B85" w:rsidR="00970042" w:rsidP="009D08D6" w:rsidRDefault="00ED1D2D" w14:paraId="391DD307" w14:textId="43CAB756">
      <w:pPr>
        <w:pStyle w:val="Heading1"/>
        <w:rPr>
          <w:rFonts w:cs="Times New Roman"/>
          <w:bCs/>
        </w:rPr>
      </w:pPr>
      <w:bookmarkStart w:name="_Toc205560103" w:id="12"/>
      <w:r>
        <w:rPr>
          <w:rFonts w:cs="Times New Roman"/>
          <w:bCs/>
        </w:rPr>
        <w:t xml:space="preserve">URM Division </w:t>
      </w:r>
      <w:r w:rsidRPr="008D276F" w:rsidR="008D276F">
        <w:rPr>
          <w:rFonts w:cs="Times New Roman"/>
          <w:bCs/>
        </w:rPr>
        <w:t>I</w:t>
      </w:r>
      <w:r w:rsidR="008A445F">
        <w:rPr>
          <w:rFonts w:cs="Times New Roman"/>
          <w:bCs/>
        </w:rPr>
        <w:t>V</w:t>
      </w:r>
      <w:r w:rsidRPr="008D276F" w:rsidR="008D276F">
        <w:rPr>
          <w:rFonts w:cs="Times New Roman"/>
          <w:bCs/>
        </w:rPr>
        <w:t xml:space="preserve">. </w:t>
      </w:r>
      <w:r w:rsidR="006B1CF2">
        <w:rPr>
          <w:rFonts w:cs="Times New Roman"/>
          <w:bCs/>
        </w:rPr>
        <w:t xml:space="preserve"> </w:t>
      </w:r>
      <w:r w:rsidRPr="004E3B85" w:rsidR="00813766">
        <w:rPr>
          <w:rFonts w:cs="Times New Roman"/>
          <w:bCs/>
        </w:rPr>
        <w:t>Rate change application</w:t>
      </w:r>
      <w:r w:rsidRPr="004E3B85" w:rsidR="00AA1FDE">
        <w:rPr>
          <w:rFonts w:cs="Times New Roman"/>
          <w:bCs/>
        </w:rPr>
        <w:t xml:space="preserve"> technical requirements</w:t>
      </w:r>
      <w:r w:rsidRPr="008D276F" w:rsidR="00F74D7D">
        <w:rPr>
          <w:rFonts w:cs="Times New Roman"/>
          <w:bCs/>
        </w:rPr>
        <w:t>.</w:t>
      </w:r>
      <w:bookmarkEnd w:id="12"/>
    </w:p>
    <w:p w:rsidR="00865F09" w:rsidP="00865F09" w:rsidRDefault="00360F11" w14:paraId="45B7F64B" w14:textId="77777777">
      <w:pPr>
        <w:pStyle w:val="Heading2"/>
      </w:pPr>
      <w:bookmarkStart w:name="_Toc205560104" w:id="13"/>
      <w:bookmarkEnd w:id="0"/>
      <w:r>
        <w:t>Section 1.</w:t>
      </w:r>
      <w:r w:rsidR="006B1CF2">
        <w:tab/>
      </w:r>
      <w:r>
        <w:t xml:space="preserve">Required </w:t>
      </w:r>
      <w:r w:rsidR="0041443C">
        <w:t>c</w:t>
      </w:r>
      <w:r>
        <w:t>ontent</w:t>
      </w:r>
      <w:r w:rsidR="006B1CF2">
        <w:t>.</w:t>
      </w:r>
      <w:bookmarkEnd w:id="13"/>
    </w:p>
    <w:p w:rsidRPr="00865F09" w:rsidR="00E07CE0" w:rsidP="00865F09" w:rsidRDefault="00865F09" w14:paraId="1C5F22E3" w14:textId="3D708139">
      <w:pPr>
        <w:pStyle w:val="Heading2"/>
      </w:pPr>
      <w:r>
        <w:tab/>
      </w:r>
      <w:r w:rsidRPr="00865F09" w:rsidR="00E07CE0">
        <w:rPr>
          <w:rFonts w:cs="Times New Roman"/>
          <w:b w:val="0"/>
          <w:bCs/>
        </w:rPr>
        <w:t>Each rate</w:t>
      </w:r>
      <w:r w:rsidRPr="00865F09" w:rsidR="008163E2">
        <w:rPr>
          <w:rFonts w:cs="Times New Roman"/>
          <w:b w:val="0"/>
          <w:bCs/>
        </w:rPr>
        <w:t xml:space="preserve"> </w:t>
      </w:r>
      <w:r w:rsidRPr="00865F09" w:rsidR="00E07CE0">
        <w:rPr>
          <w:rFonts w:cs="Times New Roman"/>
          <w:b w:val="0"/>
          <w:bCs/>
        </w:rPr>
        <w:t xml:space="preserve">case applicant under this chapter shall provide the following: </w:t>
      </w:r>
    </w:p>
    <w:p w:rsidRPr="003A1409" w:rsidR="00F740E5" w:rsidP="0013748A" w:rsidRDefault="00F740E5" w14:paraId="797807CE" w14:textId="21AA20CF">
      <w:pPr>
        <w:pStyle w:val="ListParagraph"/>
        <w:numPr>
          <w:ilvl w:val="0"/>
          <w:numId w:val="13"/>
        </w:numPr>
        <w:spacing w:line="240" w:lineRule="auto"/>
        <w:ind w:left="2160"/>
        <w:jc w:val="both"/>
        <w:rPr>
          <w:rFonts w:cs="Times New Roman"/>
        </w:rPr>
      </w:pPr>
      <w:r w:rsidRPr="009D08D6">
        <w:rPr>
          <w:rFonts w:cs="Times New Roman"/>
        </w:rPr>
        <w:t xml:space="preserve">General </w:t>
      </w:r>
      <w:r w:rsidR="007F3924">
        <w:rPr>
          <w:rFonts w:cs="Times New Roman"/>
        </w:rPr>
        <w:t>d</w:t>
      </w:r>
      <w:r w:rsidRPr="009D08D6">
        <w:rPr>
          <w:rFonts w:cs="Times New Roman"/>
        </w:rPr>
        <w:t>ata:</w:t>
      </w:r>
    </w:p>
    <w:p w:rsidRPr="003A1409" w:rsidR="00E07CE0" w:rsidP="0013748A" w:rsidRDefault="00E07CE0" w14:paraId="08CA2FFE" w14:textId="54C8F55A">
      <w:pPr>
        <w:pStyle w:val="ListParagraph"/>
        <w:numPr>
          <w:ilvl w:val="1"/>
          <w:numId w:val="13"/>
        </w:numPr>
        <w:spacing w:line="240" w:lineRule="auto"/>
        <w:ind w:left="2880"/>
        <w:jc w:val="both"/>
        <w:rPr>
          <w:rFonts w:cs="Times New Roman"/>
        </w:rPr>
      </w:pPr>
      <w:r w:rsidRPr="009D08D6">
        <w:rPr>
          <w:rFonts w:cs="Times New Roman"/>
        </w:rPr>
        <w:t>Charter</w:t>
      </w:r>
      <w:r w:rsidRPr="003A1409">
        <w:rPr>
          <w:rFonts w:cs="Times New Roman"/>
        </w:rPr>
        <w:t xml:space="preserve">. A copy of the public utility's charter or articles of incorporation, </w:t>
      </w:r>
      <w:r w:rsidRPr="003A1409" w:rsidR="004C3CAE">
        <w:rPr>
          <w:rFonts w:cs="Times New Roman"/>
        </w:rPr>
        <w:t xml:space="preserve"> articles of organization, or other business formation documents, </w:t>
      </w:r>
      <w:r w:rsidRPr="003A1409">
        <w:rPr>
          <w:rFonts w:cs="Times New Roman"/>
        </w:rPr>
        <w:t xml:space="preserve">if not already on file with the council. </w:t>
      </w:r>
    </w:p>
    <w:p w:rsidRPr="003A1409" w:rsidR="00E07CE0" w:rsidP="0013748A" w:rsidRDefault="00E07CE0" w14:paraId="4F9FC85D" w14:textId="77777777">
      <w:pPr>
        <w:pStyle w:val="ListParagraph"/>
        <w:numPr>
          <w:ilvl w:val="1"/>
          <w:numId w:val="13"/>
        </w:numPr>
        <w:spacing w:line="240" w:lineRule="auto"/>
        <w:ind w:left="2880"/>
        <w:jc w:val="both"/>
        <w:rPr>
          <w:rFonts w:cs="Times New Roman"/>
        </w:rPr>
      </w:pPr>
      <w:r w:rsidRPr="009D08D6">
        <w:rPr>
          <w:rFonts w:cs="Times New Roman"/>
        </w:rPr>
        <w:t>Latest balance sheet.</w:t>
      </w:r>
      <w:r w:rsidRPr="003A1409">
        <w:rPr>
          <w:rFonts w:cs="Times New Roman"/>
        </w:rPr>
        <w:t xml:space="preserve"> A balance sheet of the utility prepared as of the last day of the latest month in which data is readily available. For Period II, provide a balance sheet of the utility on an estimated basis. </w:t>
      </w:r>
    </w:p>
    <w:p w:rsidRPr="003A1409" w:rsidR="00E07CE0" w:rsidP="0013748A" w:rsidRDefault="00E07CE0" w14:paraId="3FD66E41" w14:textId="77777777">
      <w:pPr>
        <w:pStyle w:val="ListParagraph"/>
        <w:numPr>
          <w:ilvl w:val="1"/>
          <w:numId w:val="13"/>
        </w:numPr>
        <w:spacing w:line="240" w:lineRule="auto"/>
        <w:ind w:left="2880"/>
        <w:jc w:val="both"/>
        <w:rPr>
          <w:rFonts w:cs="Times New Roman"/>
        </w:rPr>
      </w:pPr>
      <w:r w:rsidRPr="009D08D6">
        <w:rPr>
          <w:rFonts w:cs="Times New Roman"/>
        </w:rPr>
        <w:t>Utility property.</w:t>
      </w:r>
      <w:r w:rsidRPr="003A1409">
        <w:rPr>
          <w:rFonts w:cs="Times New Roman"/>
        </w:rPr>
        <w:t xml:space="preserve"> If not already provided in earlier statements, a description of the utility's property, as of the last day of the latest month in which data is readily available. For </w:t>
      </w:r>
      <w:r w:rsidRPr="005D78AB">
        <w:rPr>
          <w:rFonts w:cs="Times New Roman"/>
        </w:rPr>
        <w:t>Period II,</w:t>
      </w:r>
      <w:r w:rsidRPr="003A1409">
        <w:rPr>
          <w:rFonts w:cs="Times New Roman"/>
        </w:rPr>
        <w:t xml:space="preserve"> provide a description of the utility's property on an estimated basis as of the last day of </w:t>
      </w:r>
      <w:r w:rsidRPr="005D78AB">
        <w:rPr>
          <w:rFonts w:cs="Times New Roman"/>
        </w:rPr>
        <w:t>Period II.</w:t>
      </w:r>
      <w:r w:rsidRPr="003A1409">
        <w:rPr>
          <w:rFonts w:cs="Times New Roman"/>
        </w:rPr>
        <w:t xml:space="preserve"> Such a description shall be a dollar amount </w:t>
      </w:r>
      <w:r w:rsidRPr="005D78AB">
        <w:rPr>
          <w:rFonts w:cs="Times New Roman"/>
        </w:rPr>
        <w:t>of</w:t>
      </w:r>
      <w:r w:rsidRPr="003A1409">
        <w:rPr>
          <w:rFonts w:cs="Times New Roman"/>
        </w:rPr>
        <w:t xml:space="preserve"> each functional category. </w:t>
      </w:r>
    </w:p>
    <w:p w:rsidRPr="003A1409" w:rsidR="00E07CE0" w:rsidP="0013748A" w:rsidRDefault="00E07CE0" w14:paraId="20507E9E" w14:textId="3FE86EC8">
      <w:pPr>
        <w:pStyle w:val="ListParagraph"/>
        <w:numPr>
          <w:ilvl w:val="1"/>
          <w:numId w:val="13"/>
        </w:numPr>
        <w:spacing w:line="240" w:lineRule="auto"/>
        <w:ind w:left="2880"/>
        <w:jc w:val="both"/>
        <w:rPr>
          <w:rFonts w:cs="Times New Roman"/>
        </w:rPr>
      </w:pPr>
      <w:r w:rsidRPr="009D08D6">
        <w:rPr>
          <w:rFonts w:cs="Times New Roman"/>
        </w:rPr>
        <w:t>Retained earnings analysis</w:t>
      </w:r>
      <w:r w:rsidRPr="003A1409">
        <w:rPr>
          <w:rFonts w:cs="Times New Roman"/>
        </w:rPr>
        <w:t xml:space="preserve">. An analysis of retained earnings covering </w:t>
      </w:r>
      <w:r w:rsidRPr="005D78AB">
        <w:rPr>
          <w:rFonts w:cs="Times New Roman"/>
        </w:rPr>
        <w:t>Period I</w:t>
      </w:r>
      <w:r w:rsidRPr="005D78AB" w:rsidR="00822EE4">
        <w:rPr>
          <w:rFonts w:cs="Times New Roman"/>
        </w:rPr>
        <w:t>.</w:t>
      </w:r>
      <w:r w:rsidRPr="005D78AB">
        <w:rPr>
          <w:rFonts w:cs="Times New Roman"/>
        </w:rPr>
        <w:t xml:space="preserve"> </w:t>
      </w:r>
      <w:r w:rsidRPr="005D78AB" w:rsidR="00822EE4">
        <w:rPr>
          <w:rFonts w:cs="Times New Roman"/>
        </w:rPr>
        <w:t xml:space="preserve">For </w:t>
      </w:r>
      <w:r w:rsidRPr="005D78AB">
        <w:rPr>
          <w:rFonts w:cs="Times New Roman"/>
        </w:rPr>
        <w:t>Period II, an</w:t>
      </w:r>
      <w:r w:rsidRPr="003A1409">
        <w:rPr>
          <w:rFonts w:cs="Times New Roman"/>
        </w:rPr>
        <w:t xml:space="preserve"> analysis from the close of the last calendar year for which an annual report has been filed with the council to the date of the balance sheet provided in the </w:t>
      </w:r>
      <w:r w:rsidRPr="0013748A">
        <w:rPr>
          <w:rFonts w:cs="Times New Roman"/>
        </w:rPr>
        <w:t>statement in subsection (</w:t>
      </w:r>
      <w:r w:rsidR="0013748A">
        <w:rPr>
          <w:rFonts w:cs="Times New Roman"/>
        </w:rPr>
        <w:t>1</w:t>
      </w:r>
      <w:r w:rsidRPr="0013748A">
        <w:rPr>
          <w:rFonts w:cs="Times New Roman"/>
        </w:rPr>
        <w:t>)</w:t>
      </w:r>
      <w:r w:rsidR="0013748A">
        <w:rPr>
          <w:rFonts w:cs="Times New Roman"/>
        </w:rPr>
        <w:t xml:space="preserve"> b.</w:t>
      </w:r>
      <w:r w:rsidRPr="0013748A">
        <w:rPr>
          <w:rFonts w:cs="Times New Roman"/>
        </w:rPr>
        <w:t xml:space="preserve"> of this section.</w:t>
      </w:r>
      <w:r w:rsidRPr="003A1409">
        <w:rPr>
          <w:rFonts w:cs="Times New Roman"/>
        </w:rPr>
        <w:t xml:space="preserve"> </w:t>
      </w:r>
    </w:p>
    <w:p w:rsidRPr="003A1409" w:rsidR="00E07CE0" w:rsidP="0013748A" w:rsidRDefault="00E07CE0" w14:paraId="4B16466B" w14:textId="70DA6DDC">
      <w:pPr>
        <w:pStyle w:val="ListParagraph"/>
        <w:numPr>
          <w:ilvl w:val="1"/>
          <w:numId w:val="13"/>
        </w:numPr>
        <w:spacing w:line="240" w:lineRule="auto"/>
        <w:ind w:left="2880"/>
        <w:jc w:val="both"/>
        <w:rPr>
          <w:rFonts w:cs="Times New Roman"/>
        </w:rPr>
      </w:pPr>
      <w:r w:rsidRPr="009D08D6">
        <w:rPr>
          <w:rFonts w:cs="Times New Roman"/>
        </w:rPr>
        <w:t>Construction program statement</w:t>
      </w:r>
      <w:r w:rsidRPr="003A1409">
        <w:rPr>
          <w:rFonts w:cs="Times New Roman"/>
          <w:b/>
          <w:bCs/>
        </w:rPr>
        <w:t>.</w:t>
      </w:r>
      <w:r w:rsidRPr="003A1409">
        <w:rPr>
          <w:rFonts w:cs="Times New Roman"/>
        </w:rPr>
        <w:t xml:space="preserve"> The utility shall file a statement </w:t>
      </w:r>
      <w:r w:rsidR="008163E2">
        <w:rPr>
          <w:rFonts w:cs="Times New Roman"/>
        </w:rPr>
        <w:t>that</w:t>
      </w:r>
      <w:r w:rsidRPr="003A1409">
        <w:rPr>
          <w:rFonts w:cs="Times New Roman"/>
        </w:rPr>
        <w:t xml:space="preserve"> generally describes its program for providing reliable and economic services for the period beginning with the date of the filing and ending with the tenth year after the test period. The statement shall include the following: </w:t>
      </w:r>
    </w:p>
    <w:p w:rsidR="00E07CE0" w:rsidP="0013748A" w:rsidRDefault="00E07CE0" w14:paraId="30985A9A" w14:textId="6B8C9D20">
      <w:pPr>
        <w:pStyle w:val="ListParagraph"/>
        <w:numPr>
          <w:ilvl w:val="2"/>
          <w:numId w:val="13"/>
        </w:numPr>
        <w:spacing w:line="240" w:lineRule="auto"/>
        <w:ind w:left="3600"/>
        <w:jc w:val="both"/>
      </w:pPr>
      <w:r w:rsidRPr="003A1409">
        <w:rPr>
          <w:rFonts w:cs="Times New Roman"/>
        </w:rPr>
        <w:t>An annual forecast, for the period, of customers' peak demand and energy requirements utilizing econometric forecasting models. These models should include price induced conservation, the conservation effects associated with improved efficiencies of gas, heat, electrical and power appliances and equipment</w:t>
      </w:r>
      <w:r w:rsidR="00C06C27">
        <w:rPr>
          <w:rFonts w:cs="Times New Roman"/>
        </w:rPr>
        <w:t>,</w:t>
      </w:r>
      <w:r w:rsidRPr="003A1409">
        <w:rPr>
          <w:rFonts w:cs="Times New Roman"/>
        </w:rPr>
        <w:t xml:space="preserve"> and any reduction in demand</w:t>
      </w:r>
      <w:r w:rsidR="000B0920">
        <w:rPr>
          <w:rFonts w:cs="Times New Roman"/>
        </w:rPr>
        <w:t xml:space="preserve"> and energy </w:t>
      </w:r>
      <w:r w:rsidR="00C06C27">
        <w:rPr>
          <w:rFonts w:cs="Times New Roman"/>
        </w:rPr>
        <w:t>resulting from</w:t>
      </w:r>
      <w:r w:rsidR="000B0920">
        <w:rPr>
          <w:rFonts w:cs="Times New Roman"/>
        </w:rPr>
        <w:t xml:space="preserve"> </w:t>
      </w:r>
      <w:r w:rsidRPr="000B0920" w:rsidR="000B0920">
        <w:rPr>
          <w:rFonts w:cs="Times New Roman"/>
        </w:rPr>
        <w:t xml:space="preserve">projected customer-owned resources, such as </w:t>
      </w:r>
      <w:r w:rsidR="000B0920">
        <w:rPr>
          <w:rFonts w:cs="Times New Roman"/>
        </w:rPr>
        <w:t>distributed energy resources (“</w:t>
      </w:r>
      <w:r w:rsidRPr="000B0920" w:rsidR="000B0920">
        <w:rPr>
          <w:rFonts w:cs="Times New Roman"/>
        </w:rPr>
        <w:t>DERs</w:t>
      </w:r>
      <w:r w:rsidR="000B0920">
        <w:rPr>
          <w:rFonts w:cs="Times New Roman"/>
        </w:rPr>
        <w:t>”)</w:t>
      </w:r>
      <w:r w:rsidRPr="000B0920" w:rsidR="000B0920">
        <w:rPr>
          <w:rFonts w:cs="Times New Roman"/>
        </w:rPr>
        <w:t xml:space="preserve">, and all utility-managed demand side management </w:t>
      </w:r>
      <w:r w:rsidR="000B0920">
        <w:rPr>
          <w:rFonts w:cs="Times New Roman"/>
        </w:rPr>
        <w:t xml:space="preserve">(“DSM”) </w:t>
      </w:r>
      <w:r w:rsidRPr="000B0920" w:rsidR="000B0920">
        <w:rPr>
          <w:rFonts w:cs="Times New Roman"/>
        </w:rPr>
        <w:t xml:space="preserve">programs. </w:t>
      </w:r>
      <w:r w:rsidRPr="003A1409">
        <w:rPr>
          <w:rFonts w:cs="Times New Roman"/>
        </w:rPr>
        <w:t xml:space="preserve"> </w:t>
      </w:r>
    </w:p>
    <w:p w:rsidRPr="003A1409" w:rsidR="00E07CE0" w:rsidP="0013748A" w:rsidRDefault="00E07CE0" w14:paraId="5FD896B7" w14:textId="6531B45B">
      <w:pPr>
        <w:pStyle w:val="ListParagraph"/>
        <w:numPr>
          <w:ilvl w:val="2"/>
          <w:numId w:val="13"/>
        </w:numPr>
        <w:spacing w:line="240" w:lineRule="auto"/>
        <w:ind w:left="3600"/>
        <w:jc w:val="both"/>
        <w:rPr>
          <w:rFonts w:cs="Times New Roman"/>
        </w:rPr>
      </w:pPr>
      <w:r w:rsidRPr="003A1409">
        <w:rPr>
          <w:rFonts w:cs="Times New Roman"/>
        </w:rPr>
        <w:lastRenderedPageBreak/>
        <w:t xml:space="preserve">A capacity addition program setting forth the sources of </w:t>
      </w:r>
      <w:r w:rsidR="000B0920">
        <w:rPr>
          <w:rFonts w:cs="Times New Roman"/>
        </w:rPr>
        <w:t xml:space="preserve">utility-owned </w:t>
      </w:r>
      <w:r w:rsidRPr="003A1409">
        <w:rPr>
          <w:rFonts w:cs="Times New Roman"/>
        </w:rPr>
        <w:t xml:space="preserve">capacity and energy to serve the customers' forecasted peak demand and energy requirements. </w:t>
      </w:r>
    </w:p>
    <w:p w:rsidRPr="003A1409" w:rsidR="00E07CE0" w:rsidP="0013748A" w:rsidRDefault="00E07CE0" w14:paraId="131AE358" w14:textId="4F204F44">
      <w:pPr>
        <w:pStyle w:val="ListParagraph"/>
        <w:numPr>
          <w:ilvl w:val="2"/>
          <w:numId w:val="13"/>
        </w:numPr>
        <w:spacing w:line="240" w:lineRule="auto"/>
        <w:ind w:left="3600"/>
        <w:jc w:val="both"/>
        <w:rPr>
          <w:rFonts w:cs="Times New Roman"/>
        </w:rPr>
      </w:pPr>
      <w:r w:rsidRPr="003A1409">
        <w:rPr>
          <w:rFonts w:cs="Times New Roman"/>
        </w:rPr>
        <w:t>A transmission</w:t>
      </w:r>
      <w:r w:rsidR="000B0920">
        <w:rPr>
          <w:rFonts w:cs="Times New Roman"/>
        </w:rPr>
        <w:t>/distribution</w:t>
      </w:r>
      <w:r w:rsidRPr="003A1409">
        <w:rPr>
          <w:rFonts w:cs="Times New Roman"/>
        </w:rPr>
        <w:t xml:space="preserve"> program setting forth the additions and improvements in transmission </w:t>
      </w:r>
      <w:r w:rsidR="000B0920">
        <w:rPr>
          <w:rFonts w:cs="Times New Roman"/>
        </w:rPr>
        <w:t xml:space="preserve">and distribution </w:t>
      </w:r>
      <w:r w:rsidRPr="003A1409">
        <w:rPr>
          <w:rFonts w:cs="Times New Roman"/>
        </w:rPr>
        <w:t xml:space="preserve">facilities necessary to deliver the capacity and energy from the utility's sources to its customers in a reliable and economical manner. </w:t>
      </w:r>
    </w:p>
    <w:p w:rsidRPr="009D08D6" w:rsidR="00E07CE0" w:rsidP="0013748A" w:rsidRDefault="00E07CE0" w14:paraId="099059EC" w14:textId="2B26E61C">
      <w:pPr>
        <w:pStyle w:val="ListParagraph"/>
        <w:numPr>
          <w:ilvl w:val="0"/>
          <w:numId w:val="13"/>
        </w:numPr>
        <w:spacing w:line="240" w:lineRule="auto"/>
        <w:ind w:left="2160"/>
        <w:jc w:val="both"/>
        <w:rPr>
          <w:rFonts w:cs="Times New Roman"/>
        </w:rPr>
      </w:pPr>
      <w:r w:rsidRPr="003A1409">
        <w:rPr>
          <w:rFonts w:cs="Times New Roman"/>
          <w:b/>
          <w:bCs/>
        </w:rPr>
        <w:t xml:space="preserve"> </w:t>
      </w:r>
      <w:r w:rsidRPr="009D08D6" w:rsidR="0041443C">
        <w:rPr>
          <w:rFonts w:cs="Times New Roman"/>
        </w:rPr>
        <w:t>Revenue-related</w:t>
      </w:r>
      <w:r w:rsidRPr="009D08D6">
        <w:rPr>
          <w:rFonts w:cs="Times New Roman"/>
        </w:rPr>
        <w:t xml:space="preserve"> data including the following:</w:t>
      </w:r>
    </w:p>
    <w:p w:rsidRPr="003A1409" w:rsidR="00E07CE0" w:rsidP="0013748A" w:rsidRDefault="00E07CE0" w14:paraId="01D679FF" w14:textId="5AA184B7">
      <w:pPr>
        <w:pStyle w:val="ListParagraph"/>
        <w:numPr>
          <w:ilvl w:val="1"/>
          <w:numId w:val="13"/>
        </w:numPr>
        <w:spacing w:line="240" w:lineRule="auto"/>
        <w:ind w:left="2880"/>
        <w:jc w:val="both"/>
        <w:rPr>
          <w:rFonts w:cs="Times New Roman"/>
        </w:rPr>
      </w:pPr>
      <w:r w:rsidRPr="009D08D6">
        <w:rPr>
          <w:rFonts w:cs="Times New Roman"/>
        </w:rPr>
        <w:t>Summary of revenue requirements</w:t>
      </w:r>
      <w:r w:rsidRPr="003A1409">
        <w:rPr>
          <w:rFonts w:cs="Times New Roman"/>
          <w:i/>
          <w:iCs/>
        </w:rPr>
        <w:t>.</w:t>
      </w:r>
      <w:r w:rsidRPr="003A1409">
        <w:rPr>
          <w:rFonts w:cs="Times New Roman"/>
        </w:rPr>
        <w:t xml:space="preserve"> </w:t>
      </w:r>
      <w:r w:rsidRPr="003A1409" w:rsidR="00822EE4">
        <w:rPr>
          <w:rFonts w:cs="Times New Roman"/>
        </w:rPr>
        <w:t xml:space="preserve">If </w:t>
      </w:r>
      <w:r w:rsidRPr="003A1409">
        <w:rPr>
          <w:rFonts w:cs="Times New Roman"/>
        </w:rPr>
        <w:t>Period I</w:t>
      </w:r>
      <w:r w:rsidRPr="003A1409" w:rsidR="00822EE4">
        <w:rPr>
          <w:rFonts w:cs="Times New Roman"/>
        </w:rPr>
        <w:t xml:space="preserve"> is the test year period</w:t>
      </w:r>
      <w:r w:rsidRPr="003A1409">
        <w:rPr>
          <w:rFonts w:cs="Times New Roman"/>
        </w:rPr>
        <w:t xml:space="preserve">, a jurisdictional summary showing </w:t>
      </w:r>
      <w:bookmarkStart w:name="_Hlk201055953" w:id="14"/>
      <w:r w:rsidRPr="003A1409">
        <w:rPr>
          <w:rFonts w:cs="Times New Roman"/>
        </w:rPr>
        <w:t>pro forma adjusted rate base and operating income under present rates</w:t>
      </w:r>
      <w:bookmarkEnd w:id="14"/>
      <w:r w:rsidRPr="003A1409">
        <w:rPr>
          <w:rFonts w:cs="Times New Roman"/>
        </w:rPr>
        <w:t xml:space="preserve">; and actual earned rate of return, proposed rate of return, required operating income, operating income deficiency, gross revenue conversion factor, and resulting revenue requirement. </w:t>
      </w:r>
      <w:r w:rsidRPr="003A1409" w:rsidR="00822EE4">
        <w:rPr>
          <w:rFonts w:cs="Times New Roman"/>
        </w:rPr>
        <w:t xml:space="preserve">If </w:t>
      </w:r>
      <w:r w:rsidRPr="003A1409">
        <w:rPr>
          <w:rFonts w:cs="Times New Roman"/>
        </w:rPr>
        <w:t>Period II</w:t>
      </w:r>
      <w:r w:rsidRPr="003A1409" w:rsidR="00822EE4">
        <w:rPr>
          <w:rFonts w:cs="Times New Roman"/>
        </w:rPr>
        <w:t xml:space="preserve"> is the test year period</w:t>
      </w:r>
      <w:r w:rsidRPr="003A1409">
        <w:rPr>
          <w:rFonts w:cs="Times New Roman"/>
        </w:rPr>
        <w:t xml:space="preserve">, provide a jurisdictional summary showing </w:t>
      </w:r>
      <w:r w:rsidRPr="00E556F0" w:rsidR="008931B1">
        <w:rPr>
          <w:rFonts w:cs="Times New Roman"/>
        </w:rPr>
        <w:t xml:space="preserve">proforma adjusted rate base and operating income under present </w:t>
      </w:r>
      <w:r w:rsidRPr="003A1409">
        <w:rPr>
          <w:rFonts w:cs="Times New Roman"/>
        </w:rPr>
        <w:t>rates</w:t>
      </w:r>
      <w:r w:rsidR="008931B1">
        <w:rPr>
          <w:rFonts w:cs="Times New Roman"/>
        </w:rPr>
        <w:t>; actual</w:t>
      </w:r>
      <w:r w:rsidRPr="003A1409">
        <w:rPr>
          <w:rFonts w:cs="Times New Roman"/>
        </w:rPr>
        <w:t xml:space="preserve"> earned rate of return, proposed rate of return, required</w:t>
      </w:r>
      <w:r w:rsidR="0041443C">
        <w:rPr>
          <w:rFonts w:cs="Times New Roman"/>
        </w:rPr>
        <w:t xml:space="preserve"> </w:t>
      </w:r>
      <w:r w:rsidRPr="003A1409">
        <w:rPr>
          <w:rFonts w:cs="Times New Roman"/>
        </w:rPr>
        <w:t xml:space="preserve">operating income, operating income deficiency, gross revenue conversion factor, and resulting revenue requirements. </w:t>
      </w:r>
    </w:p>
    <w:p w:rsidRPr="003A1409" w:rsidR="00E07CE0" w:rsidP="0013748A" w:rsidRDefault="00E07CE0" w14:paraId="1C12D526" w14:textId="6061A02C">
      <w:pPr>
        <w:pStyle w:val="ListParagraph"/>
        <w:numPr>
          <w:ilvl w:val="1"/>
          <w:numId w:val="13"/>
        </w:numPr>
        <w:spacing w:line="240" w:lineRule="auto"/>
        <w:ind w:left="2880"/>
        <w:jc w:val="both"/>
        <w:rPr>
          <w:rFonts w:cs="Times New Roman"/>
        </w:rPr>
      </w:pPr>
      <w:r w:rsidRPr="009D08D6">
        <w:rPr>
          <w:rFonts w:cs="Times New Roman"/>
        </w:rPr>
        <w:t>Summary of impact of proposed rates</w:t>
      </w:r>
      <w:r w:rsidRPr="003A1409">
        <w:rPr>
          <w:rFonts w:cs="Times New Roman"/>
        </w:rPr>
        <w:t xml:space="preserve">. For Period I and Period II, provide a tabulation by jurisdiction showing the number of customers, </w:t>
      </w:r>
      <w:r w:rsidR="00CA0542">
        <w:rPr>
          <w:rFonts w:cs="Times New Roman"/>
        </w:rPr>
        <w:t xml:space="preserve">monthly billing determinants, </w:t>
      </w:r>
      <w:r w:rsidRPr="003A1409">
        <w:rPr>
          <w:rFonts w:cs="Times New Roman"/>
        </w:rPr>
        <w:t>the base revenues,</w:t>
      </w:r>
      <w:r w:rsidR="00CA0542">
        <w:rPr>
          <w:rFonts w:cs="Times New Roman"/>
        </w:rPr>
        <w:t xml:space="preserve"> rider tariff revenues,</w:t>
      </w:r>
      <w:r w:rsidRPr="003A1409">
        <w:rPr>
          <w:rFonts w:cs="Times New Roman"/>
        </w:rPr>
        <w:t xml:space="preserve"> and the total revenues by rate schedule under present and proposed rates and the dollar and percentage increase</w:t>
      </w:r>
      <w:r w:rsidRPr="003A1409" w:rsidR="00822EE4">
        <w:rPr>
          <w:rFonts w:cs="Times New Roman"/>
        </w:rPr>
        <w:t>s</w:t>
      </w:r>
      <w:r w:rsidRPr="003A1409">
        <w:rPr>
          <w:rFonts w:cs="Times New Roman"/>
        </w:rPr>
        <w:t>. Also furnish supporting work papers setting forth the fuel</w:t>
      </w:r>
      <w:r w:rsidR="00CA0542">
        <w:rPr>
          <w:rFonts w:cs="Times New Roman"/>
        </w:rPr>
        <w:t xml:space="preserve"> adjustment clause and purchased gas adjustment monthly</w:t>
      </w:r>
      <w:r w:rsidRPr="003A1409">
        <w:rPr>
          <w:rFonts w:cs="Times New Roman"/>
        </w:rPr>
        <w:t xml:space="preserve"> revenues. </w:t>
      </w:r>
    </w:p>
    <w:p w:rsidRPr="003A1409" w:rsidR="00E07CE0" w:rsidP="0013748A" w:rsidRDefault="00E07CE0" w14:paraId="1987DE6A" w14:textId="77777777">
      <w:pPr>
        <w:pStyle w:val="ListParagraph"/>
        <w:numPr>
          <w:ilvl w:val="1"/>
          <w:numId w:val="13"/>
        </w:numPr>
        <w:spacing w:line="240" w:lineRule="auto"/>
        <w:ind w:left="2880"/>
        <w:jc w:val="both"/>
        <w:rPr>
          <w:rFonts w:cs="Times New Roman"/>
        </w:rPr>
      </w:pPr>
      <w:r w:rsidRPr="009D08D6">
        <w:rPr>
          <w:rFonts w:cs="Times New Roman"/>
        </w:rPr>
        <w:t>Proposed rate schedules.</w:t>
      </w:r>
      <w:r w:rsidRPr="003A1409">
        <w:rPr>
          <w:rFonts w:cs="Times New Roman"/>
        </w:rPr>
        <w:t xml:space="preserve"> The proposed rate schedules for the jurisdiction and any other retail rate schedules proposed by the applicant or pending for any other jurisdiction and/or before any other regulatory body. </w:t>
      </w:r>
    </w:p>
    <w:p w:rsidRPr="003A1409" w:rsidR="00E07CE0" w:rsidP="0013748A" w:rsidRDefault="00E07CE0" w14:paraId="0C6C3731" w14:textId="77777777">
      <w:pPr>
        <w:pStyle w:val="ListParagraph"/>
        <w:numPr>
          <w:ilvl w:val="1"/>
          <w:numId w:val="13"/>
        </w:numPr>
        <w:spacing w:line="240" w:lineRule="auto"/>
        <w:ind w:left="2880"/>
        <w:jc w:val="both"/>
        <w:rPr>
          <w:rFonts w:cs="Times New Roman"/>
        </w:rPr>
      </w:pPr>
      <w:r w:rsidRPr="009D08D6">
        <w:rPr>
          <w:rFonts w:cs="Times New Roman"/>
        </w:rPr>
        <w:t>Present rate schedules.</w:t>
      </w:r>
      <w:r w:rsidRPr="003A1409">
        <w:rPr>
          <w:rFonts w:cs="Times New Roman"/>
        </w:rPr>
        <w:t xml:space="preserve"> The present rate schedules and any other rate schedules effective for the applicant for any other retail jurisdiction. </w:t>
      </w:r>
    </w:p>
    <w:p w:rsidR="00E07CE0" w:rsidP="0013748A" w:rsidRDefault="00E07CE0" w14:paraId="2E8E0C7F" w14:textId="475EDB10">
      <w:pPr>
        <w:pStyle w:val="ListParagraph"/>
        <w:numPr>
          <w:ilvl w:val="1"/>
          <w:numId w:val="13"/>
        </w:numPr>
        <w:spacing w:line="240" w:lineRule="auto"/>
        <w:ind w:left="2880"/>
        <w:jc w:val="both"/>
      </w:pPr>
      <w:r w:rsidRPr="009D08D6">
        <w:rPr>
          <w:rFonts w:cs="Times New Roman"/>
        </w:rPr>
        <w:t>Summary bill comparison.</w:t>
      </w:r>
      <w:r w:rsidRPr="003A1409">
        <w:rPr>
          <w:rFonts w:cs="Times New Roman"/>
        </w:rPr>
        <w:t xml:space="preserve"> Schedules showing typical bill comparisons by rate schedule under present and proposed rates. The comparisons should provide adequate consumption information by block and </w:t>
      </w:r>
      <w:r w:rsidR="00CA0542">
        <w:rPr>
          <w:rFonts w:cs="Times New Roman"/>
        </w:rPr>
        <w:t xml:space="preserve">season, and </w:t>
      </w:r>
      <w:r w:rsidRPr="003A1409">
        <w:rPr>
          <w:rFonts w:cs="Times New Roman"/>
        </w:rPr>
        <w:t xml:space="preserve">should set forth base revenue, </w:t>
      </w:r>
      <w:r w:rsidR="00CA0542">
        <w:rPr>
          <w:rFonts w:cs="Times New Roman"/>
        </w:rPr>
        <w:t>rider tariff</w:t>
      </w:r>
      <w:r w:rsidRPr="003A1409">
        <w:rPr>
          <w:rFonts w:cs="Times New Roman"/>
        </w:rPr>
        <w:t xml:space="preserve"> adjustment</w:t>
      </w:r>
      <w:r w:rsidRPr="003A1409" w:rsidR="00760CA6">
        <w:rPr>
          <w:rFonts w:cs="Times New Roman"/>
        </w:rPr>
        <w:t>s</w:t>
      </w:r>
      <w:r w:rsidRPr="003A1409">
        <w:rPr>
          <w:rFonts w:cs="Times New Roman"/>
        </w:rPr>
        <w:t xml:space="preserve">, if any, and total revenue for various levels of usage under all residential, commercial, industrial, and other rate schedules. </w:t>
      </w:r>
    </w:p>
    <w:p w:rsidRPr="009D08D6" w:rsidR="00E07CE0" w:rsidP="0013748A" w:rsidRDefault="00E07CE0" w14:paraId="1A8238BC" w14:textId="61BF1D91">
      <w:pPr>
        <w:pStyle w:val="ListParagraph"/>
        <w:numPr>
          <w:ilvl w:val="0"/>
          <w:numId w:val="13"/>
        </w:numPr>
        <w:spacing w:line="240" w:lineRule="auto"/>
        <w:ind w:left="2160"/>
        <w:jc w:val="both"/>
        <w:rPr>
          <w:rFonts w:cs="Times New Roman"/>
        </w:rPr>
      </w:pPr>
      <w:r w:rsidRPr="003A1409">
        <w:rPr>
          <w:rFonts w:cs="Times New Roman"/>
          <w:b/>
          <w:bCs/>
        </w:rPr>
        <w:t xml:space="preserve">  </w:t>
      </w:r>
      <w:r w:rsidRPr="009D08D6">
        <w:rPr>
          <w:rFonts w:cs="Times New Roman"/>
        </w:rPr>
        <w:t>Rate base related data including the following:</w:t>
      </w:r>
    </w:p>
    <w:p w:rsidRPr="003A1409" w:rsidR="00E07CE0" w:rsidP="0013748A" w:rsidRDefault="00E07CE0" w14:paraId="10C73A8C" w14:textId="713DBE2C">
      <w:pPr>
        <w:pStyle w:val="ListParagraph"/>
        <w:numPr>
          <w:ilvl w:val="1"/>
          <w:numId w:val="13"/>
        </w:numPr>
        <w:spacing w:line="240" w:lineRule="auto"/>
        <w:ind w:left="2880"/>
        <w:jc w:val="both"/>
        <w:rPr>
          <w:rFonts w:cs="Times New Roman"/>
        </w:rPr>
      </w:pPr>
      <w:r w:rsidRPr="009D08D6">
        <w:rPr>
          <w:rFonts w:cs="Times New Roman"/>
        </w:rPr>
        <w:t>Summary of jurisdictional rate base</w:t>
      </w:r>
      <w:r w:rsidRPr="003A1409">
        <w:rPr>
          <w:rFonts w:cs="Times New Roman"/>
          <w:i/>
          <w:iCs/>
        </w:rPr>
        <w:t>.</w:t>
      </w:r>
      <w:r w:rsidRPr="003A1409">
        <w:rPr>
          <w:rFonts w:cs="Times New Roman"/>
        </w:rPr>
        <w:t xml:space="preserve"> For Period I, a summary of total company and jurisdictional rate base for pro forma adjusted</w:t>
      </w:r>
      <w:r>
        <w:t xml:space="preserve"> </w:t>
      </w:r>
      <w:r w:rsidRPr="003A1409">
        <w:rPr>
          <w:rFonts w:cs="Times New Roman"/>
        </w:rPr>
        <w:t xml:space="preserve">operations. For Period II, a total company and jurisdictional </w:t>
      </w:r>
      <w:r w:rsidR="00F54ABE">
        <w:rPr>
          <w:rFonts w:cs="Times New Roman"/>
        </w:rPr>
        <w:t xml:space="preserve">pro forma adjusted </w:t>
      </w:r>
      <w:r w:rsidRPr="003A1409">
        <w:rPr>
          <w:rFonts w:cs="Times New Roman"/>
        </w:rPr>
        <w:t xml:space="preserve">rate base for projected operations. The rate base shall be stated in adequate detail to identify each component set forth in </w:t>
      </w:r>
      <w:r w:rsidRPr="003A1409">
        <w:rPr>
          <w:rFonts w:cs="Times New Roman"/>
        </w:rPr>
        <w:lastRenderedPageBreak/>
        <w:t xml:space="preserve">this schedule. The utility may include items not specifically set forth which it believes are appropriate for inclusion. </w:t>
      </w:r>
    </w:p>
    <w:p w:rsidRPr="003A1409" w:rsidR="00E07CE0" w:rsidP="0013748A" w:rsidRDefault="00E07CE0" w14:paraId="461DD3D1" w14:textId="6C163481">
      <w:pPr>
        <w:pStyle w:val="ListParagraph"/>
        <w:numPr>
          <w:ilvl w:val="1"/>
          <w:numId w:val="13"/>
        </w:numPr>
        <w:spacing w:line="240" w:lineRule="auto"/>
        <w:ind w:left="2880"/>
        <w:jc w:val="both"/>
        <w:rPr>
          <w:rFonts w:cs="Times New Roman"/>
        </w:rPr>
      </w:pPr>
      <w:r w:rsidRPr="009D08D6">
        <w:rPr>
          <w:rFonts w:cs="Times New Roman"/>
        </w:rPr>
        <w:t>Plant in service</w:t>
      </w:r>
      <w:r w:rsidRPr="003A1409">
        <w:rPr>
          <w:rFonts w:cs="Times New Roman"/>
          <w:i/>
          <w:iCs/>
        </w:rPr>
        <w:t>.</w:t>
      </w:r>
      <w:r w:rsidRPr="003A1409">
        <w:rPr>
          <w:rFonts w:cs="Times New Roman"/>
        </w:rPr>
        <w:t xml:space="preserve"> For Period I, a summary of total company plant in service by FERC account for actual operations, and, if applicable, a summary of pro forma adjustments by FERC account, including a description and the amount of each such adjustment and total company plant in service by FERC account for pro forma adjusted operations. For Period II, a summary of total company plant in service by </w:t>
      </w:r>
      <w:r w:rsidR="00F54ABE">
        <w:rPr>
          <w:rFonts w:cs="Times New Roman"/>
        </w:rPr>
        <w:t>FERC account</w:t>
      </w:r>
      <w:r w:rsidRPr="003A1409">
        <w:rPr>
          <w:rFonts w:cs="Times New Roman"/>
        </w:rPr>
        <w:t xml:space="preserve"> for projected operations</w:t>
      </w:r>
      <w:r w:rsidR="00F54ABE">
        <w:rPr>
          <w:rFonts w:cs="Times New Roman"/>
        </w:rPr>
        <w:t xml:space="preserve">, </w:t>
      </w:r>
      <w:r w:rsidRPr="00F54ABE" w:rsidR="00F54ABE">
        <w:rPr>
          <w:rFonts w:cs="Times New Roman"/>
        </w:rPr>
        <w:t>and, if applicable, a summary of pro forma adjustments by FERC account, including a description and the amount of each such adjustment and total company plant in service by FERC account for pro forma adjusted operations.</w:t>
      </w:r>
      <w:r w:rsidRPr="003A1409">
        <w:rPr>
          <w:rFonts w:cs="Times New Roman"/>
        </w:rPr>
        <w:t xml:space="preserve"> The total company plant in service shown on this schedule shall agree with the amounts appearing on the statement </w:t>
      </w:r>
      <w:r w:rsidR="00546D52">
        <w:rPr>
          <w:rFonts w:cs="Times New Roman"/>
        </w:rPr>
        <w:t>referenced</w:t>
      </w:r>
      <w:r w:rsidRPr="003A1409">
        <w:rPr>
          <w:rFonts w:cs="Times New Roman"/>
        </w:rPr>
        <w:t xml:space="preserve"> </w:t>
      </w:r>
      <w:r w:rsidRPr="001F4659">
        <w:rPr>
          <w:rFonts w:cs="Times New Roman"/>
        </w:rPr>
        <w:t>i</w:t>
      </w:r>
      <w:r w:rsidRPr="0013748A">
        <w:rPr>
          <w:rFonts w:cs="Times New Roman"/>
        </w:rPr>
        <w:t xml:space="preserve">n subsection (1) </w:t>
      </w:r>
      <w:r w:rsidR="001F4659">
        <w:rPr>
          <w:rFonts w:cs="Times New Roman"/>
        </w:rPr>
        <w:t xml:space="preserve">b. and subsection (6) a. </w:t>
      </w:r>
      <w:r w:rsidRPr="0013748A">
        <w:rPr>
          <w:rFonts w:cs="Times New Roman"/>
        </w:rPr>
        <w:t>of this section.</w:t>
      </w:r>
      <w:r w:rsidRPr="003A1409">
        <w:rPr>
          <w:rFonts w:cs="Times New Roman"/>
        </w:rPr>
        <w:t xml:space="preserve"> </w:t>
      </w:r>
    </w:p>
    <w:p w:rsidRPr="003A1409" w:rsidR="00E07CE0" w:rsidP="0013748A" w:rsidRDefault="00E07CE0" w14:paraId="0153D34B" w14:textId="265CB670">
      <w:pPr>
        <w:pStyle w:val="ListParagraph"/>
        <w:numPr>
          <w:ilvl w:val="1"/>
          <w:numId w:val="13"/>
        </w:numPr>
        <w:spacing w:line="240" w:lineRule="auto"/>
        <w:ind w:left="2880"/>
        <w:jc w:val="both"/>
        <w:rPr>
          <w:rFonts w:cs="Times New Roman"/>
        </w:rPr>
      </w:pPr>
      <w:r w:rsidRPr="009D08D6">
        <w:rPr>
          <w:rFonts w:cs="Times New Roman"/>
        </w:rPr>
        <w:t>Accumulated depreciation</w:t>
      </w:r>
      <w:r w:rsidRPr="003A1409">
        <w:rPr>
          <w:rFonts w:cs="Times New Roman"/>
          <w:i/>
          <w:iCs/>
        </w:rPr>
        <w:t>.</w:t>
      </w:r>
      <w:r w:rsidRPr="003A1409">
        <w:rPr>
          <w:rFonts w:cs="Times New Roman"/>
        </w:rPr>
        <w:t xml:space="preserve"> For Period I, a summary of total company accumulated depreciation by </w:t>
      </w:r>
      <w:r w:rsidR="00F358E8">
        <w:rPr>
          <w:rFonts w:cs="Times New Roman"/>
        </w:rPr>
        <w:t>FERC account</w:t>
      </w:r>
      <w:r w:rsidRPr="003A1409" w:rsidR="00F358E8">
        <w:rPr>
          <w:rFonts w:cs="Times New Roman"/>
        </w:rPr>
        <w:t xml:space="preserve"> </w:t>
      </w:r>
      <w:r w:rsidRPr="003A1409">
        <w:rPr>
          <w:rFonts w:cs="Times New Roman"/>
        </w:rPr>
        <w:t xml:space="preserve">for actual operations, and if applicable, a summary of pro forma adjustments by </w:t>
      </w:r>
      <w:r w:rsidR="0028496B">
        <w:rPr>
          <w:rFonts w:cs="Times New Roman"/>
        </w:rPr>
        <w:t>FERC account</w:t>
      </w:r>
      <w:r w:rsidRPr="003A1409">
        <w:rPr>
          <w:rFonts w:cs="Times New Roman"/>
        </w:rPr>
        <w:t xml:space="preserve">, including a description and the amount of each adjustment and total company accumulated depreciation by </w:t>
      </w:r>
      <w:r w:rsidR="0028496B">
        <w:rPr>
          <w:rFonts w:cs="Times New Roman"/>
        </w:rPr>
        <w:t xml:space="preserve">FERC account </w:t>
      </w:r>
      <w:r w:rsidRPr="003A1409">
        <w:rPr>
          <w:rFonts w:cs="Times New Roman"/>
        </w:rPr>
        <w:t xml:space="preserve">for pro forma adjusted operations. For Period II, provide a summary of total company accumulated depreciation by </w:t>
      </w:r>
      <w:r w:rsidR="00F358E8">
        <w:rPr>
          <w:rFonts w:cs="Times New Roman"/>
        </w:rPr>
        <w:t>FERC account</w:t>
      </w:r>
      <w:r w:rsidRPr="003A1409" w:rsidR="00F358E8">
        <w:rPr>
          <w:rFonts w:cs="Times New Roman"/>
        </w:rPr>
        <w:t xml:space="preserve"> </w:t>
      </w:r>
      <w:r w:rsidRPr="003A1409">
        <w:rPr>
          <w:rFonts w:cs="Times New Roman"/>
        </w:rPr>
        <w:t>for projected operations</w:t>
      </w:r>
      <w:r w:rsidR="0028496B">
        <w:rPr>
          <w:rFonts w:cs="Times New Roman"/>
        </w:rPr>
        <w:t xml:space="preserve">, </w:t>
      </w:r>
      <w:r w:rsidRPr="0028496B" w:rsidR="00546D52">
        <w:rPr>
          <w:rFonts w:cs="Times New Roman"/>
        </w:rPr>
        <w:t>A</w:t>
      </w:r>
      <w:r w:rsidRPr="0028496B" w:rsidR="0028496B">
        <w:rPr>
          <w:rFonts w:cs="Times New Roman"/>
        </w:rPr>
        <w:t>nd</w:t>
      </w:r>
      <w:r w:rsidR="00546D52">
        <w:rPr>
          <w:rFonts w:cs="Times New Roman"/>
        </w:rPr>
        <w:t>,</w:t>
      </w:r>
      <w:r w:rsidRPr="0028496B" w:rsidR="0028496B">
        <w:rPr>
          <w:rFonts w:cs="Times New Roman"/>
        </w:rPr>
        <w:t xml:space="preserve"> if applicable, a summary of pro forma adjustments by FERC account, including a description and the amount of each adjustment and total company accumulated depreciation by FERC account</w:t>
      </w:r>
      <w:r w:rsidR="0028496B">
        <w:rPr>
          <w:rFonts w:cs="Times New Roman"/>
        </w:rPr>
        <w:t>.</w:t>
      </w:r>
      <w:r w:rsidRPr="003A1409">
        <w:rPr>
          <w:rFonts w:cs="Times New Roman"/>
        </w:rPr>
        <w:t xml:space="preserve"> Also</w:t>
      </w:r>
      <w:r w:rsidR="00546D52">
        <w:rPr>
          <w:rFonts w:cs="Times New Roman"/>
        </w:rPr>
        <w:t>, as applicable,</w:t>
      </w:r>
      <w:r w:rsidRPr="003A1409">
        <w:rPr>
          <w:rFonts w:cs="Times New Roman"/>
        </w:rPr>
        <w:t xml:space="preserve"> provide a list of retirements of </w:t>
      </w:r>
      <w:r w:rsidR="00F32B69">
        <w:rPr>
          <w:rFonts w:cs="Times New Roman"/>
        </w:rPr>
        <w:t xml:space="preserve">electric utility </w:t>
      </w:r>
      <w:r w:rsidRPr="003A1409">
        <w:rPr>
          <w:rFonts w:cs="Times New Roman"/>
        </w:rPr>
        <w:t>generating plants, transmission lines or substations, and distribution lines or substations</w:t>
      </w:r>
      <w:r w:rsidR="00F32B69">
        <w:rPr>
          <w:rFonts w:cs="Times New Roman"/>
        </w:rPr>
        <w:t xml:space="preserve">, and a list of retirements of gas plant in service, </w:t>
      </w:r>
      <w:r w:rsidRPr="003A1409">
        <w:rPr>
          <w:rFonts w:cs="Times New Roman"/>
        </w:rPr>
        <w:t xml:space="preserve">recorded during Period I and projected for Period II, provided each such retirement exceeds $100,000.00. The total company accumulated depreciation shown on this schedule shall agree with the amounts appearing on the statement </w:t>
      </w:r>
      <w:r w:rsidRPr="0013748A">
        <w:rPr>
          <w:rFonts w:cs="Times New Roman"/>
        </w:rPr>
        <w:t xml:space="preserve">in subsection (1) </w:t>
      </w:r>
      <w:bookmarkStart w:name="_Hlk206685607" w:id="15"/>
      <w:r w:rsidR="001F4659">
        <w:rPr>
          <w:rFonts w:cs="Times New Roman"/>
        </w:rPr>
        <w:t xml:space="preserve">b. and subsection (6) a. </w:t>
      </w:r>
      <w:bookmarkEnd w:id="15"/>
      <w:r w:rsidRPr="0013748A">
        <w:rPr>
          <w:rFonts w:cs="Times New Roman"/>
        </w:rPr>
        <w:t>of this section</w:t>
      </w:r>
      <w:r w:rsidRPr="003A1409">
        <w:rPr>
          <w:rFonts w:cs="Times New Roman"/>
        </w:rPr>
        <w:t>.</w:t>
      </w:r>
    </w:p>
    <w:p w:rsidRPr="003A1409" w:rsidR="00E07CE0" w:rsidP="0013748A" w:rsidRDefault="00E07CE0" w14:paraId="07DD99F9" w14:textId="3C21848B">
      <w:pPr>
        <w:pStyle w:val="ListParagraph"/>
        <w:numPr>
          <w:ilvl w:val="1"/>
          <w:numId w:val="13"/>
        </w:numPr>
        <w:spacing w:line="240" w:lineRule="auto"/>
        <w:ind w:left="2880"/>
        <w:jc w:val="both"/>
        <w:rPr>
          <w:rFonts w:cs="Times New Roman"/>
        </w:rPr>
      </w:pPr>
      <w:r w:rsidRPr="009D08D6">
        <w:rPr>
          <w:rFonts w:cs="Times New Roman"/>
        </w:rPr>
        <w:t>Depreciation study.</w:t>
      </w:r>
      <w:r w:rsidRPr="003A1409">
        <w:rPr>
          <w:rFonts w:cs="Times New Roman"/>
        </w:rPr>
        <w:t xml:space="preserve"> The utility's most recent depreciation study</w:t>
      </w:r>
      <w:r w:rsidR="005B530C">
        <w:rPr>
          <w:rFonts w:cs="Times New Roman"/>
        </w:rPr>
        <w:t xml:space="preserve"> by FERC account</w:t>
      </w:r>
      <w:r w:rsidRPr="003A1409">
        <w:rPr>
          <w:rFonts w:cs="Times New Roman"/>
        </w:rPr>
        <w:t xml:space="preserve">. If the utility has previously filed the study with the council the same may be provided by reference. </w:t>
      </w:r>
    </w:p>
    <w:p w:rsidRPr="003A1409" w:rsidR="00E07CE0" w:rsidP="0013748A" w:rsidRDefault="00E07CE0" w14:paraId="5B68A200" w14:textId="4AD30DD6">
      <w:pPr>
        <w:pStyle w:val="ListParagraph"/>
        <w:numPr>
          <w:ilvl w:val="1"/>
          <w:numId w:val="13"/>
        </w:numPr>
        <w:spacing w:line="240" w:lineRule="auto"/>
        <w:ind w:left="2880"/>
        <w:jc w:val="both"/>
        <w:rPr>
          <w:rFonts w:cs="Times New Roman"/>
        </w:rPr>
      </w:pPr>
      <w:r w:rsidRPr="009D08D6">
        <w:rPr>
          <w:rFonts w:cs="Times New Roman"/>
        </w:rPr>
        <w:t>Summary of construction work in progress</w:t>
      </w:r>
      <w:r w:rsidRPr="003A1409">
        <w:rPr>
          <w:rFonts w:cs="Times New Roman"/>
        </w:rPr>
        <w:t xml:space="preserve">. For Period I and Period II, a schedule showing total company construction work in progress by </w:t>
      </w:r>
      <w:r w:rsidR="005B530C">
        <w:rPr>
          <w:rFonts w:cs="Times New Roman"/>
        </w:rPr>
        <w:t>FERC account</w:t>
      </w:r>
      <w:r w:rsidRPr="003A1409">
        <w:rPr>
          <w:rFonts w:cs="Times New Roman"/>
        </w:rPr>
        <w:t xml:space="preserve">. </w:t>
      </w:r>
    </w:p>
    <w:p w:rsidRPr="003A1409" w:rsidR="00E07CE0" w:rsidP="0013748A" w:rsidRDefault="00E07CE0" w14:paraId="581BB659" w14:textId="5D3C63D1">
      <w:pPr>
        <w:pStyle w:val="ListParagraph"/>
        <w:numPr>
          <w:ilvl w:val="1"/>
          <w:numId w:val="13"/>
        </w:numPr>
        <w:spacing w:line="240" w:lineRule="auto"/>
        <w:ind w:left="2880"/>
        <w:jc w:val="both"/>
        <w:rPr>
          <w:rFonts w:cs="Times New Roman"/>
        </w:rPr>
      </w:pPr>
      <w:r w:rsidRPr="009D08D6">
        <w:rPr>
          <w:rFonts w:cs="Times New Roman"/>
        </w:rPr>
        <w:t>Listing of construction work in progress</w:t>
      </w:r>
      <w:r w:rsidRPr="003A1409">
        <w:rPr>
          <w:rFonts w:cs="Times New Roman"/>
        </w:rPr>
        <w:t xml:space="preserve">. For Period I, a schedule listing all construction work in progress at the end of the period by work order number, and for Period II, by </w:t>
      </w:r>
      <w:r w:rsidR="005B530C">
        <w:rPr>
          <w:rFonts w:cs="Times New Roman"/>
        </w:rPr>
        <w:t>FERC account</w:t>
      </w:r>
      <w:r w:rsidRPr="003A1409">
        <w:rPr>
          <w:rFonts w:cs="Times New Roman"/>
        </w:rPr>
        <w:t>. For each listed</w:t>
      </w:r>
      <w:r>
        <w:t xml:space="preserve"> </w:t>
      </w:r>
      <w:r w:rsidRPr="003A1409">
        <w:rPr>
          <w:rFonts w:cs="Times New Roman"/>
        </w:rPr>
        <w:t xml:space="preserve">item, the estimated completion cost of </w:t>
      </w:r>
      <w:r w:rsidRPr="003A1409" w:rsidR="001F1DFD">
        <w:rPr>
          <w:rFonts w:cs="Times New Roman"/>
        </w:rPr>
        <w:t>all work that</w:t>
      </w:r>
      <w:r w:rsidRPr="003A1409">
        <w:rPr>
          <w:rFonts w:cs="Times New Roman"/>
        </w:rPr>
        <w:t xml:space="preserve"> exceeds $100,000.00 and is applicable to the city's jurisdictional area</w:t>
      </w:r>
      <w:r>
        <w:t xml:space="preserve">, </w:t>
      </w:r>
      <w:r w:rsidRPr="003A1409">
        <w:rPr>
          <w:rFonts w:cs="Times New Roman"/>
        </w:rPr>
        <w:t xml:space="preserve">provide a brief description, estimated completion cost and projected </w:t>
      </w:r>
      <w:r w:rsidRPr="003A1409">
        <w:rPr>
          <w:rFonts w:cs="Times New Roman"/>
        </w:rPr>
        <w:lastRenderedPageBreak/>
        <w:t xml:space="preserve">date of placement in service. For Period I and Period II, for construction applicable to the city's jurisdictional area provide a statement listing all construction work in progress closed, or to be closed, during the period, by </w:t>
      </w:r>
      <w:r w:rsidR="005B530C">
        <w:rPr>
          <w:rFonts w:cs="Times New Roman"/>
        </w:rPr>
        <w:t>FERC account</w:t>
      </w:r>
      <w:r w:rsidRPr="003A1409">
        <w:rPr>
          <w:rFonts w:cs="Times New Roman"/>
        </w:rPr>
        <w:t xml:space="preserve">, including a brief description, final completion cost, and date of placement in service, provided the estimated completion cost of each such item exceeds $100,000.00. </w:t>
      </w:r>
    </w:p>
    <w:p w:rsidRPr="003A1409" w:rsidR="00E07CE0" w:rsidP="0013748A" w:rsidRDefault="00E07CE0" w14:paraId="3A2F5C7C" w14:textId="77777777">
      <w:pPr>
        <w:pStyle w:val="ListParagraph"/>
        <w:numPr>
          <w:ilvl w:val="1"/>
          <w:numId w:val="13"/>
        </w:numPr>
        <w:spacing w:line="240" w:lineRule="auto"/>
        <w:ind w:left="2880"/>
        <w:jc w:val="both"/>
        <w:rPr>
          <w:rFonts w:cs="Times New Roman"/>
        </w:rPr>
      </w:pPr>
      <w:r w:rsidRPr="009D08D6">
        <w:rPr>
          <w:rFonts w:cs="Times New Roman"/>
        </w:rPr>
        <w:t>Allowance for funds used during construction (AFUDC).</w:t>
      </w:r>
      <w:r w:rsidRPr="003A1409">
        <w:rPr>
          <w:rFonts w:cs="Times New Roman"/>
          <w:i/>
          <w:iCs/>
        </w:rPr>
        <w:t xml:space="preserve"> </w:t>
      </w:r>
      <w:r w:rsidRPr="003A1409">
        <w:rPr>
          <w:rFonts w:cs="Times New Roman"/>
        </w:rPr>
        <w:t xml:space="preserve">For Period I and Period II, show the computations of the maximum rates for the construction allowances. If the utility proposes to use a net-of-tax rate, the utility shall show the derivation for both the gross-of-tax and net-of-tax rates. If the booked amounts of AFUDC do not reflect the rates computed above, show the derivation for the actual rates utilized in computing AFUDC, including the derivation of any net-of-tax AFUDC rate utilized by the utility. </w:t>
      </w:r>
    </w:p>
    <w:p w:rsidRPr="003A1409" w:rsidR="00E07CE0" w:rsidP="0013748A" w:rsidRDefault="00E07CE0" w14:paraId="45FBC6F4" w14:textId="032FA7CE">
      <w:pPr>
        <w:pStyle w:val="ListParagraph"/>
        <w:numPr>
          <w:ilvl w:val="1"/>
          <w:numId w:val="13"/>
        </w:numPr>
        <w:spacing w:line="240" w:lineRule="auto"/>
        <w:ind w:left="2880"/>
        <w:jc w:val="both"/>
        <w:rPr>
          <w:rFonts w:cs="Times New Roman"/>
        </w:rPr>
      </w:pPr>
      <w:r w:rsidRPr="009D08D6">
        <w:rPr>
          <w:rFonts w:cs="Times New Roman"/>
        </w:rPr>
        <w:t>Summary of property held for future use</w:t>
      </w:r>
      <w:r w:rsidRPr="003A1409">
        <w:rPr>
          <w:rFonts w:cs="Times New Roman"/>
        </w:rPr>
        <w:t xml:space="preserve">. For Period I and Period II, provide a schedule listing total company property held for future use, including, by item, the book cost, the projected date of placement in service, and the planned use for this property. The total company amount of property held for future use shown on this schedule shall agree with the amounts, if any, appearing on the statement </w:t>
      </w:r>
      <w:r w:rsidRPr="0013748A">
        <w:rPr>
          <w:rFonts w:cs="Times New Roman"/>
        </w:rPr>
        <w:t xml:space="preserve">in subsection (1) </w:t>
      </w:r>
      <w:r w:rsidR="001F4659">
        <w:rPr>
          <w:rFonts w:cs="Times New Roman"/>
        </w:rPr>
        <w:t xml:space="preserve">b. and subsection (6) a. </w:t>
      </w:r>
      <w:r w:rsidRPr="0013748A">
        <w:rPr>
          <w:rFonts w:cs="Times New Roman"/>
        </w:rPr>
        <w:t>of this section</w:t>
      </w:r>
      <w:r w:rsidRPr="003A1409">
        <w:rPr>
          <w:rFonts w:cs="Times New Roman"/>
        </w:rPr>
        <w:t xml:space="preserve">. </w:t>
      </w:r>
    </w:p>
    <w:p w:rsidRPr="003A1409" w:rsidR="00E07CE0" w:rsidP="0013748A" w:rsidRDefault="00E07CE0" w14:paraId="670C6A89" w14:textId="5BE39A1A">
      <w:pPr>
        <w:pStyle w:val="ListParagraph"/>
        <w:numPr>
          <w:ilvl w:val="1"/>
          <w:numId w:val="13"/>
        </w:numPr>
        <w:spacing w:line="240" w:lineRule="auto"/>
        <w:ind w:left="2880"/>
        <w:jc w:val="both"/>
        <w:rPr>
          <w:rFonts w:cs="Times New Roman"/>
        </w:rPr>
      </w:pPr>
      <w:r w:rsidRPr="009D08D6">
        <w:rPr>
          <w:rFonts w:cs="Times New Roman"/>
        </w:rPr>
        <w:t>Calculation of working capital allowance</w:t>
      </w:r>
      <w:r w:rsidRPr="003A1409">
        <w:rPr>
          <w:rFonts w:cs="Times New Roman"/>
        </w:rPr>
        <w:t xml:space="preserve">. For Period I and Period II, provide a schedule showing the calculation of the total company working capital by component. The total company amount of working capital allowance shall agree with the amounts appearing on the statement </w:t>
      </w:r>
      <w:r w:rsidRPr="0013748A">
        <w:rPr>
          <w:rFonts w:cs="Times New Roman"/>
        </w:rPr>
        <w:t>in subsection (1)</w:t>
      </w:r>
      <w:r w:rsidRPr="001F4659" w:rsidR="001F4659">
        <w:rPr>
          <w:rFonts w:cs="Times New Roman"/>
        </w:rPr>
        <w:t xml:space="preserve"> </w:t>
      </w:r>
      <w:r w:rsidR="001F4659">
        <w:rPr>
          <w:rFonts w:cs="Times New Roman"/>
        </w:rPr>
        <w:t>b. and subsection (6) a.</w:t>
      </w:r>
      <w:r w:rsidRPr="0013748A">
        <w:rPr>
          <w:rFonts w:cs="Times New Roman"/>
        </w:rPr>
        <w:t xml:space="preserve"> of this section.</w:t>
      </w:r>
    </w:p>
    <w:p w:rsidRPr="003A1409" w:rsidR="00E07CE0" w:rsidP="0013748A" w:rsidRDefault="00E07CE0" w14:paraId="625FF930" w14:textId="420C9380">
      <w:pPr>
        <w:pStyle w:val="ListParagraph"/>
        <w:numPr>
          <w:ilvl w:val="1"/>
          <w:numId w:val="13"/>
        </w:numPr>
        <w:spacing w:line="240" w:lineRule="auto"/>
        <w:ind w:left="2880"/>
        <w:jc w:val="both"/>
        <w:rPr>
          <w:rFonts w:cs="Times New Roman"/>
        </w:rPr>
      </w:pPr>
      <w:r w:rsidRPr="009D08D6">
        <w:rPr>
          <w:rFonts w:cs="Times New Roman"/>
        </w:rPr>
        <w:t>Prepayments.</w:t>
      </w:r>
      <w:r w:rsidRPr="003A1409">
        <w:rPr>
          <w:rFonts w:cs="Times New Roman"/>
        </w:rPr>
        <w:t xml:space="preserve"> For Period I and Period II, provide a schedule showing the derivation of the total company prepayments component of the working capital allowance. Include a schedule of the monthly prepayment balances. The total company prepayment amount shall agree with the amount appearing in the statement in </w:t>
      </w:r>
      <w:r w:rsidRPr="0013748A">
        <w:rPr>
          <w:rFonts w:cs="Times New Roman"/>
          <w:color w:val="000000" w:themeColor="text1"/>
        </w:rPr>
        <w:t xml:space="preserve">subsection </w:t>
      </w:r>
      <w:r w:rsidR="001F4659">
        <w:rPr>
          <w:rFonts w:cs="Times New Roman"/>
          <w:color w:val="000000" w:themeColor="text1"/>
        </w:rPr>
        <w:t xml:space="preserve">(1) </w:t>
      </w:r>
      <w:r w:rsidR="001F4659">
        <w:rPr>
          <w:rFonts w:cs="Times New Roman"/>
        </w:rPr>
        <w:t xml:space="preserve">b. and subsection (6) a. </w:t>
      </w:r>
      <w:r w:rsidRPr="003A1409">
        <w:rPr>
          <w:rFonts w:cs="Times New Roman"/>
        </w:rPr>
        <w:t xml:space="preserve">of this section. </w:t>
      </w:r>
    </w:p>
    <w:p w:rsidR="00E07CE0" w:rsidP="0013748A" w:rsidRDefault="00E07CE0" w14:paraId="16E7841A" w14:textId="2FF1BC39">
      <w:pPr>
        <w:pStyle w:val="ListParagraph"/>
        <w:numPr>
          <w:ilvl w:val="1"/>
          <w:numId w:val="13"/>
        </w:numPr>
        <w:spacing w:line="240" w:lineRule="auto"/>
        <w:ind w:left="2880"/>
        <w:jc w:val="both"/>
      </w:pPr>
      <w:r w:rsidRPr="009D08D6">
        <w:rPr>
          <w:rFonts w:cs="Times New Roman"/>
        </w:rPr>
        <w:t>Materials and supplies and fuel stock</w:t>
      </w:r>
      <w:r w:rsidRPr="003A1409">
        <w:rPr>
          <w:rFonts w:cs="Times New Roman"/>
          <w:i/>
          <w:iCs/>
        </w:rPr>
        <w:t>.</w:t>
      </w:r>
      <w:r w:rsidRPr="003A1409">
        <w:rPr>
          <w:rFonts w:cs="Times New Roman"/>
        </w:rPr>
        <w:t xml:space="preserve"> For Period I and Period II, provide a schedule showing the derivation of the total company materials and supplies and fuel stock components of the working capital allowance including a schedule of the monthly materials and</w:t>
      </w:r>
      <w:r>
        <w:t xml:space="preserve"> </w:t>
      </w:r>
      <w:r w:rsidRPr="003A1409">
        <w:rPr>
          <w:rFonts w:cs="Times New Roman"/>
        </w:rPr>
        <w:t xml:space="preserve">supplies and fuel stock balance. The total company materials and supplies and fuel stock amounts shall agree with the amount appearing in the statement in </w:t>
      </w:r>
      <w:r w:rsidRPr="0013748A">
        <w:rPr>
          <w:rFonts w:cs="Times New Roman"/>
        </w:rPr>
        <w:t xml:space="preserve">subsection </w:t>
      </w:r>
      <w:r w:rsidR="00291456">
        <w:rPr>
          <w:rFonts w:cs="Times New Roman"/>
        </w:rPr>
        <w:t>(1)</w:t>
      </w:r>
      <w:r w:rsidRPr="00291456" w:rsidR="00291456">
        <w:rPr>
          <w:rFonts w:cs="Times New Roman"/>
        </w:rPr>
        <w:t xml:space="preserve"> </w:t>
      </w:r>
      <w:r w:rsidR="00291456">
        <w:rPr>
          <w:rFonts w:cs="Times New Roman"/>
        </w:rPr>
        <w:t xml:space="preserve">b. and subsection (6) a. </w:t>
      </w:r>
      <w:r w:rsidRPr="003A1409">
        <w:rPr>
          <w:rFonts w:cs="Times New Roman"/>
        </w:rPr>
        <w:t xml:space="preserve"> of this section.</w:t>
      </w:r>
      <w:r>
        <w:t xml:space="preserve"> </w:t>
      </w:r>
    </w:p>
    <w:p w:rsidRPr="003A1409" w:rsidR="00E07CE0" w:rsidP="0013748A" w:rsidRDefault="00E07CE0" w14:paraId="4AC38EDE" w14:textId="0A02E18B">
      <w:pPr>
        <w:pStyle w:val="ListParagraph"/>
        <w:numPr>
          <w:ilvl w:val="1"/>
          <w:numId w:val="13"/>
        </w:numPr>
        <w:spacing w:line="240" w:lineRule="auto"/>
        <w:ind w:left="2880"/>
        <w:jc w:val="both"/>
        <w:rPr>
          <w:rFonts w:cs="Times New Roman"/>
        </w:rPr>
      </w:pPr>
      <w:r w:rsidRPr="009D08D6">
        <w:rPr>
          <w:rFonts w:cs="Times New Roman"/>
        </w:rPr>
        <w:t>Calculations of cash working capital</w:t>
      </w:r>
      <w:r w:rsidRPr="003A1409">
        <w:rPr>
          <w:rFonts w:cs="Times New Roman"/>
          <w:i/>
          <w:iCs/>
        </w:rPr>
        <w:t>.</w:t>
      </w:r>
      <w:r w:rsidRPr="003A1409">
        <w:rPr>
          <w:rFonts w:cs="Times New Roman"/>
        </w:rPr>
        <w:t xml:space="preserve"> For Period I and Period II, provide a schedule showing the detailed calculation of the cash working capital component of the working capital allowance. The utility shall compute cash working capital </w:t>
      </w:r>
      <w:r w:rsidRPr="003A1409" w:rsidR="00E8350A">
        <w:rPr>
          <w:rFonts w:cs="Times New Roman"/>
        </w:rPr>
        <w:t>using</w:t>
      </w:r>
      <w:r w:rsidRPr="003A1409">
        <w:rPr>
          <w:rFonts w:cs="Times New Roman"/>
        </w:rPr>
        <w:t xml:space="preserve"> a lead-lag study </w:t>
      </w:r>
      <w:r w:rsidRPr="003A1409">
        <w:rPr>
          <w:rFonts w:cs="Times New Roman"/>
        </w:rPr>
        <w:lastRenderedPageBreak/>
        <w:t>methodology for the test period. The use of</w:t>
      </w:r>
      <w:r w:rsidRPr="003A1409" w:rsidR="00E8350A">
        <w:rPr>
          <w:rFonts w:cs="Times New Roman"/>
        </w:rPr>
        <w:t xml:space="preserve"> a</w:t>
      </w:r>
      <w:r w:rsidRPr="003A1409">
        <w:rPr>
          <w:rFonts w:cs="Times New Roman"/>
        </w:rPr>
        <w:t xml:space="preserve"> lead-lag study in the determination by the utility of its cash working capital requirements shall not preclude the council from making adjustments thereto, nor employing one-eighth of total annual operations and maintenance expense excluding amounts charged to operations and maintenance expense for fuel, deferred fuel, and purchased power in its final determination of the appropriate amounts of cash working capital for ratemaking purposes. Should the utility request zero cash working capital in its filing, it shall be considered an alternative methodology and no lead-lag study shall be required. The council's discretion </w:t>
      </w:r>
      <w:r w:rsidR="00AB1260">
        <w:rPr>
          <w:rFonts w:cs="Times New Roman"/>
        </w:rPr>
        <w:t>in</w:t>
      </w:r>
      <w:r w:rsidRPr="003A1409">
        <w:rPr>
          <w:rFonts w:cs="Times New Roman"/>
        </w:rPr>
        <w:t xml:space="preserve"> the treatment of non-investor supplied capital, other than non-investor supplied capital that would be included in a lead-lag study for ratemaking purposes, shall be unaffected. The amount shown here shall agree with the amount appearing in the statement in </w:t>
      </w:r>
      <w:r w:rsidRPr="0013748A">
        <w:rPr>
          <w:rFonts w:cs="Times New Roman"/>
        </w:rPr>
        <w:t xml:space="preserve">subsection </w:t>
      </w:r>
      <w:r w:rsidR="00291456">
        <w:rPr>
          <w:rFonts w:cs="Times New Roman"/>
        </w:rPr>
        <w:t>(1) b. and subsection (6) a.</w:t>
      </w:r>
      <w:r w:rsidRPr="003A1409">
        <w:rPr>
          <w:rFonts w:cs="Times New Roman"/>
        </w:rPr>
        <w:t xml:space="preserve"> of this section. </w:t>
      </w:r>
    </w:p>
    <w:p w:rsidRPr="003A1409" w:rsidR="00E07CE0" w:rsidP="0013748A" w:rsidRDefault="00E07CE0" w14:paraId="4B4CC80B" w14:textId="77777777">
      <w:pPr>
        <w:pStyle w:val="ListParagraph"/>
        <w:numPr>
          <w:ilvl w:val="1"/>
          <w:numId w:val="13"/>
        </w:numPr>
        <w:spacing w:line="240" w:lineRule="auto"/>
        <w:ind w:left="2880"/>
        <w:jc w:val="both"/>
        <w:rPr>
          <w:rFonts w:cs="Times New Roman"/>
        </w:rPr>
      </w:pPr>
      <w:r w:rsidRPr="009D08D6">
        <w:rPr>
          <w:rFonts w:cs="Times New Roman"/>
        </w:rPr>
        <w:t>Minimum bank balances</w:t>
      </w:r>
      <w:r w:rsidRPr="003A1409">
        <w:rPr>
          <w:rFonts w:cs="Times New Roman"/>
          <w:i/>
          <w:iCs/>
        </w:rPr>
        <w:t>.</w:t>
      </w:r>
      <w:r w:rsidRPr="003A1409">
        <w:rPr>
          <w:rFonts w:cs="Times New Roman"/>
        </w:rPr>
        <w:t xml:space="preserve"> For Period I, provide a listing of all banks requiring the deposit of minimum bank balances by the company relating to services provided in customer bill-paying programs. Also provide the amount of such minimum bank balances on deposit with each bank at the end of Period I. </w:t>
      </w:r>
    </w:p>
    <w:p w:rsidRPr="003A1409" w:rsidR="00E07CE0" w:rsidP="0013748A" w:rsidRDefault="00E07CE0" w14:paraId="5BA32F54" w14:textId="0F758298">
      <w:pPr>
        <w:pStyle w:val="ListParagraph"/>
        <w:numPr>
          <w:ilvl w:val="1"/>
          <w:numId w:val="13"/>
        </w:numPr>
        <w:spacing w:line="240" w:lineRule="auto"/>
        <w:ind w:left="2880"/>
        <w:jc w:val="both"/>
        <w:rPr>
          <w:rFonts w:cs="Times New Roman"/>
        </w:rPr>
      </w:pPr>
      <w:r w:rsidRPr="009D08D6">
        <w:rPr>
          <w:rFonts w:cs="Times New Roman"/>
        </w:rPr>
        <w:t>Summary of accumulated deferred income taxes and unamortized investment tax credits</w:t>
      </w:r>
      <w:r w:rsidRPr="003A1409">
        <w:rPr>
          <w:rFonts w:cs="Times New Roman"/>
          <w:i/>
          <w:iCs/>
        </w:rPr>
        <w:t>.</w:t>
      </w:r>
      <w:r w:rsidRPr="003A1409">
        <w:rPr>
          <w:rFonts w:cs="Times New Roman"/>
        </w:rPr>
        <w:t xml:space="preserve"> For Period I and Period II, provide a schedule showing total company accumulated deferred income taxes and unamortized investment tax credit by FERC account . Unamortized investment tax credits should be separated into pre-1971 and post-1970 periods. The balance of deferred taxes and pre-1971 tax credits shall agree with the amounts shown on the statement in </w:t>
      </w:r>
      <w:r w:rsidRPr="0013748A">
        <w:rPr>
          <w:rFonts w:cs="Times New Roman"/>
        </w:rPr>
        <w:t>subsection (1)</w:t>
      </w:r>
      <w:r w:rsidRPr="00291456" w:rsidR="00291456">
        <w:rPr>
          <w:rFonts w:cs="Times New Roman"/>
        </w:rPr>
        <w:t xml:space="preserve"> </w:t>
      </w:r>
      <w:r w:rsidR="00291456">
        <w:rPr>
          <w:rFonts w:cs="Times New Roman"/>
        </w:rPr>
        <w:t>b. and subsection (6) a.</w:t>
      </w:r>
      <w:r w:rsidRPr="0013748A">
        <w:rPr>
          <w:rFonts w:cs="Times New Roman"/>
        </w:rPr>
        <w:t xml:space="preserve"> of</w:t>
      </w:r>
      <w:r w:rsidRPr="003A1409">
        <w:rPr>
          <w:rFonts w:cs="Times New Roman"/>
        </w:rPr>
        <w:t xml:space="preserve"> this section. Also state which option the utility has filed with the IRS for treatment of post-1970 investment tax credits. </w:t>
      </w:r>
    </w:p>
    <w:p w:rsidRPr="009D08D6" w:rsidR="00E07CE0" w:rsidP="0013748A" w:rsidRDefault="00E07CE0" w14:paraId="1E5B817C" w14:textId="75ABBD9C">
      <w:pPr>
        <w:pStyle w:val="ListParagraph"/>
        <w:numPr>
          <w:ilvl w:val="0"/>
          <w:numId w:val="13"/>
        </w:numPr>
        <w:spacing w:line="240" w:lineRule="auto"/>
        <w:ind w:left="2160"/>
        <w:jc w:val="both"/>
        <w:rPr>
          <w:rFonts w:cs="Times New Roman"/>
        </w:rPr>
      </w:pPr>
      <w:r w:rsidRPr="003A1409">
        <w:rPr>
          <w:rFonts w:cs="Times New Roman"/>
          <w:b/>
          <w:bCs/>
        </w:rPr>
        <w:t xml:space="preserve"> </w:t>
      </w:r>
      <w:r w:rsidRPr="009D08D6">
        <w:rPr>
          <w:rFonts w:cs="Times New Roman"/>
        </w:rPr>
        <w:t xml:space="preserve">Income Statement data including the following: </w:t>
      </w:r>
    </w:p>
    <w:p w:rsidRPr="003A1409" w:rsidR="00E07CE0" w:rsidP="0013748A" w:rsidRDefault="00E07CE0" w14:paraId="37832EF7" w14:textId="3645D85F">
      <w:pPr>
        <w:pStyle w:val="ListParagraph"/>
        <w:numPr>
          <w:ilvl w:val="1"/>
          <w:numId w:val="13"/>
        </w:numPr>
        <w:spacing w:line="240" w:lineRule="auto"/>
        <w:ind w:left="2880"/>
        <w:jc w:val="both"/>
        <w:rPr>
          <w:rFonts w:cs="Times New Roman"/>
        </w:rPr>
      </w:pPr>
      <w:r w:rsidRPr="009D08D6">
        <w:rPr>
          <w:rFonts w:cs="Times New Roman"/>
        </w:rPr>
        <w:t>Jurisdictional income statement.</w:t>
      </w:r>
      <w:r w:rsidRPr="003A1409">
        <w:rPr>
          <w:rFonts w:cs="Times New Roman"/>
        </w:rPr>
        <w:t xml:space="preserve"> For Period I, a total company and jurisdictional income statement for pro forma adjusted operations</w:t>
      </w:r>
      <w:r>
        <w:t xml:space="preserve">. </w:t>
      </w:r>
      <w:r w:rsidRPr="003A1409">
        <w:rPr>
          <w:rFonts w:cs="Times New Roman"/>
        </w:rPr>
        <w:t>For Period II</w:t>
      </w:r>
      <w:r>
        <w:t xml:space="preserve">, </w:t>
      </w:r>
      <w:r w:rsidRPr="003A1409">
        <w:rPr>
          <w:rFonts w:cs="Times New Roman"/>
        </w:rPr>
        <w:t xml:space="preserve">a total company and jurisdictional income statement for </w:t>
      </w:r>
      <w:r w:rsidR="009E08CA">
        <w:rPr>
          <w:rFonts w:cs="Times New Roman"/>
        </w:rPr>
        <w:t xml:space="preserve">pro forma adjusted </w:t>
      </w:r>
      <w:r w:rsidRPr="003A1409">
        <w:rPr>
          <w:rFonts w:cs="Times New Roman"/>
        </w:rPr>
        <w:t>projected operations. The income statement should be in adequate detail to identify those components set forth on this</w:t>
      </w:r>
      <w:r>
        <w:t xml:space="preserve"> </w:t>
      </w:r>
      <w:r w:rsidRPr="003A1409">
        <w:rPr>
          <w:rFonts w:cs="Times New Roman"/>
        </w:rPr>
        <w:t xml:space="preserve">schedule. The utility may include items not specifically set forth which it believes are appropriate for inclusion. </w:t>
      </w:r>
    </w:p>
    <w:p w:rsidRPr="003A1409" w:rsidR="00E07CE0" w:rsidP="0013748A" w:rsidRDefault="00E07CE0" w14:paraId="3EAD870F" w14:textId="30DF5CCA">
      <w:pPr>
        <w:pStyle w:val="ListParagraph"/>
        <w:numPr>
          <w:ilvl w:val="1"/>
          <w:numId w:val="13"/>
        </w:numPr>
        <w:spacing w:line="240" w:lineRule="auto"/>
        <w:ind w:left="2880"/>
        <w:jc w:val="both"/>
        <w:rPr>
          <w:rFonts w:cs="Times New Roman"/>
        </w:rPr>
      </w:pPr>
      <w:r w:rsidRPr="009D08D6">
        <w:rPr>
          <w:rFonts w:cs="Times New Roman"/>
        </w:rPr>
        <w:t>Revenues</w:t>
      </w:r>
      <w:r w:rsidRPr="003A1409">
        <w:rPr>
          <w:rFonts w:cs="Times New Roman"/>
          <w:i/>
          <w:iCs/>
        </w:rPr>
        <w:t>.</w:t>
      </w:r>
      <w:r w:rsidRPr="003A1409">
        <w:rPr>
          <w:rFonts w:cs="Times New Roman"/>
        </w:rPr>
        <w:t xml:space="preserve"> For Period I, a schedule showing total company revenues by FERC account for actual operations, a summary of pro forma adjustments by FERC account, including a description and the amount of each adjustment and total company revenues by FERC account for pro forma adjusted operations. For Period II, provide a schedule showing total company revenues by FERC account for projected operations along with a description of the assumptions, methodologies, models and databases used in making such </w:t>
      </w:r>
      <w:r w:rsidRPr="003A1409">
        <w:rPr>
          <w:rFonts w:cs="Times New Roman"/>
        </w:rPr>
        <w:lastRenderedPageBreak/>
        <w:t xml:space="preserve">projections. The total company revenues shall agree with the amounts appearing in the statement </w:t>
      </w:r>
      <w:r w:rsidRPr="0013748A">
        <w:rPr>
          <w:rFonts w:cs="Times New Roman"/>
        </w:rPr>
        <w:t xml:space="preserve">in subsection (1) </w:t>
      </w:r>
      <w:r w:rsidR="00291456">
        <w:rPr>
          <w:rFonts w:cs="Times New Roman"/>
        </w:rPr>
        <w:t xml:space="preserve">d. and subsection (6) b. </w:t>
      </w:r>
      <w:r w:rsidRPr="0013748A">
        <w:rPr>
          <w:rFonts w:cs="Times New Roman"/>
        </w:rPr>
        <w:t>of this section</w:t>
      </w:r>
      <w:r w:rsidRPr="003A1409">
        <w:rPr>
          <w:rFonts w:cs="Times New Roman"/>
        </w:rPr>
        <w:t>.</w:t>
      </w:r>
    </w:p>
    <w:p w:rsidRPr="003A1409" w:rsidR="00E07CE0" w:rsidP="0013748A" w:rsidRDefault="00E07CE0" w14:paraId="22230F4F" w14:textId="2180214F">
      <w:pPr>
        <w:pStyle w:val="ListParagraph"/>
        <w:numPr>
          <w:ilvl w:val="1"/>
          <w:numId w:val="13"/>
        </w:numPr>
        <w:spacing w:line="240" w:lineRule="auto"/>
        <w:ind w:left="2880"/>
        <w:jc w:val="both"/>
        <w:rPr>
          <w:rFonts w:cs="Times New Roman"/>
        </w:rPr>
      </w:pPr>
      <w:r w:rsidRPr="009D08D6">
        <w:rPr>
          <w:rFonts w:cs="Times New Roman"/>
        </w:rPr>
        <w:t>Operation and maintenance expenses.</w:t>
      </w:r>
      <w:r w:rsidRPr="003A1409">
        <w:rPr>
          <w:rFonts w:cs="Times New Roman"/>
        </w:rPr>
        <w:t xml:space="preserve"> For Period I, a schedule showing total company operation and maintenance expenses by FERC account for actual operations, a summary of pro forma adjustments by FERC account, including a description and the amount of each adjustment and total company operation and maintenance expenses by FERC account for pro forma adjusted operations. For Period II, a schedule showing total company operation and maintenance expenses by </w:t>
      </w:r>
      <w:r w:rsidR="00121B97">
        <w:rPr>
          <w:rFonts w:cs="Times New Roman"/>
        </w:rPr>
        <w:t>FERC account</w:t>
      </w:r>
      <w:r w:rsidRPr="003A1409" w:rsidR="00121B97">
        <w:rPr>
          <w:rFonts w:cs="Times New Roman"/>
        </w:rPr>
        <w:t xml:space="preserve"> </w:t>
      </w:r>
      <w:r w:rsidRPr="003A1409">
        <w:rPr>
          <w:rFonts w:cs="Times New Roman"/>
        </w:rPr>
        <w:t>for projected operations</w:t>
      </w:r>
      <w:r w:rsidR="00477C56">
        <w:rPr>
          <w:rFonts w:cs="Times New Roman"/>
        </w:rPr>
        <w:t>,</w:t>
      </w:r>
      <w:r w:rsidR="00D26F09">
        <w:rPr>
          <w:rFonts w:cs="Times New Roman"/>
        </w:rPr>
        <w:t xml:space="preserve"> and </w:t>
      </w:r>
      <w:r w:rsidRPr="00D26F09" w:rsidR="00D26F09">
        <w:rPr>
          <w:rFonts w:cs="Times New Roman"/>
        </w:rPr>
        <w:t>a summary of pro forma adjustments by FERC account, including a description and the amount of each adjustment and total company operation and maintenance expenses by FERC account for pro forma adjusted operations.</w:t>
      </w:r>
      <w:r w:rsidRPr="003A1409">
        <w:rPr>
          <w:rFonts w:cs="Times New Roman"/>
        </w:rPr>
        <w:t xml:space="preserve"> The total company operation and maintenance expenses shall agree with the amounts appearing in the statement </w:t>
      </w:r>
      <w:r w:rsidRPr="0013748A">
        <w:rPr>
          <w:rFonts w:cs="Times New Roman"/>
        </w:rPr>
        <w:t>in subsection (1)</w:t>
      </w:r>
      <w:r w:rsidRPr="00291456" w:rsidR="00291456">
        <w:rPr>
          <w:rFonts w:cs="Times New Roman"/>
        </w:rPr>
        <w:t xml:space="preserve"> </w:t>
      </w:r>
      <w:r w:rsidR="00291456">
        <w:rPr>
          <w:rFonts w:cs="Times New Roman"/>
        </w:rPr>
        <w:t>d. and subsection (6) b.</w:t>
      </w:r>
      <w:r w:rsidRPr="0013748A">
        <w:rPr>
          <w:rFonts w:cs="Times New Roman"/>
        </w:rPr>
        <w:t xml:space="preserve"> of this section</w:t>
      </w:r>
      <w:r w:rsidRPr="003A1409">
        <w:rPr>
          <w:rFonts w:cs="Times New Roman"/>
        </w:rPr>
        <w:t xml:space="preserve">. </w:t>
      </w:r>
    </w:p>
    <w:p w:rsidRPr="003A1409" w:rsidR="00E07CE0" w:rsidP="0013748A" w:rsidRDefault="00CE0A0D" w14:paraId="360F20C4" w14:textId="56EA69C2">
      <w:pPr>
        <w:pStyle w:val="ListParagraph"/>
        <w:numPr>
          <w:ilvl w:val="1"/>
          <w:numId w:val="13"/>
        </w:numPr>
        <w:spacing w:line="240" w:lineRule="auto"/>
        <w:ind w:left="2880"/>
        <w:jc w:val="both"/>
        <w:rPr>
          <w:rFonts w:cs="Times New Roman"/>
        </w:rPr>
      </w:pPr>
      <w:r w:rsidRPr="007F3924">
        <w:rPr>
          <w:rFonts w:cs="Times New Roman"/>
        </w:rPr>
        <w:t>Electric</w:t>
      </w:r>
      <w:r w:rsidRPr="007F3924" w:rsidR="00C86B63">
        <w:rPr>
          <w:rFonts w:cs="Times New Roman"/>
        </w:rPr>
        <w:t xml:space="preserve"> Utility </w:t>
      </w:r>
      <w:r w:rsidRPr="009D08D6" w:rsidR="00E07CE0">
        <w:rPr>
          <w:rFonts w:cs="Times New Roman"/>
        </w:rPr>
        <w:t xml:space="preserve">Fuel </w:t>
      </w:r>
      <w:r w:rsidRPr="007F3924" w:rsidR="00C86B63">
        <w:rPr>
          <w:rFonts w:cs="Times New Roman"/>
        </w:rPr>
        <w:t xml:space="preserve">and Gas Utility Purchased Gas </w:t>
      </w:r>
      <w:r w:rsidRPr="009D08D6" w:rsidR="00E07CE0">
        <w:rPr>
          <w:rFonts w:cs="Times New Roman"/>
        </w:rPr>
        <w:t>adjustment data</w:t>
      </w:r>
      <w:r w:rsidRPr="003A1409" w:rsidR="00E07CE0">
        <w:rPr>
          <w:rFonts w:cs="Times New Roman"/>
          <w:i/>
          <w:iCs/>
        </w:rPr>
        <w:t>.</w:t>
      </w:r>
      <w:r w:rsidRPr="003A1409" w:rsidR="00E07CE0">
        <w:rPr>
          <w:rFonts w:cs="Times New Roman"/>
        </w:rPr>
        <w:t xml:space="preserve"> For Period I and Period II, monthly expense data by accounts for </w:t>
      </w:r>
      <w:r w:rsidR="00281241">
        <w:rPr>
          <w:rFonts w:cs="Times New Roman"/>
        </w:rPr>
        <w:t xml:space="preserve">electric utility </w:t>
      </w:r>
      <w:r w:rsidRPr="003A1409" w:rsidR="00E07CE0">
        <w:rPr>
          <w:rFonts w:cs="Times New Roman"/>
        </w:rPr>
        <w:t xml:space="preserve">fuel </w:t>
      </w:r>
      <w:r w:rsidR="009B2467">
        <w:rPr>
          <w:rFonts w:cs="Times New Roman"/>
        </w:rPr>
        <w:t xml:space="preserve">related costs </w:t>
      </w:r>
      <w:r w:rsidRPr="003A1409" w:rsidR="00E07CE0">
        <w:rPr>
          <w:rFonts w:cs="Times New Roman"/>
        </w:rPr>
        <w:t>in accounts 501, 5</w:t>
      </w:r>
      <w:r w:rsidR="00DE2AE2">
        <w:rPr>
          <w:rFonts w:cs="Times New Roman"/>
        </w:rPr>
        <w:t>5</w:t>
      </w:r>
      <w:r w:rsidRPr="003A1409" w:rsidR="00E07CE0">
        <w:rPr>
          <w:rFonts w:cs="Times New Roman"/>
        </w:rPr>
        <w:t>7, and purchased power in account 555</w:t>
      </w:r>
      <w:r w:rsidR="00905A08">
        <w:rPr>
          <w:rFonts w:cs="Times New Roman"/>
        </w:rPr>
        <w:t>, and for gas utility</w:t>
      </w:r>
      <w:r w:rsidR="003E6EAF">
        <w:rPr>
          <w:rFonts w:cs="Times New Roman"/>
        </w:rPr>
        <w:t xml:space="preserve"> in accounts 804 and 880</w:t>
      </w:r>
      <w:r w:rsidRPr="003A1409" w:rsidR="00E07CE0">
        <w:rPr>
          <w:rFonts w:cs="Times New Roman"/>
        </w:rPr>
        <w:t xml:space="preserve">. The total amount in these accounts shall agree with the amounts shown in the statement in </w:t>
      </w:r>
      <w:r w:rsidRPr="0013748A" w:rsidR="00E07CE0">
        <w:rPr>
          <w:rFonts w:cs="Times New Roman"/>
        </w:rPr>
        <w:t xml:space="preserve">subsection </w:t>
      </w:r>
      <w:r w:rsidR="00291456">
        <w:rPr>
          <w:rFonts w:cs="Times New Roman"/>
        </w:rPr>
        <w:t xml:space="preserve">(1) </w:t>
      </w:r>
      <w:bookmarkStart w:name="_Hlk206686358" w:id="16"/>
      <w:r w:rsidR="00291456">
        <w:rPr>
          <w:rFonts w:cs="Times New Roman"/>
        </w:rPr>
        <w:t>d. and subsection (6) b.</w:t>
      </w:r>
      <w:bookmarkEnd w:id="16"/>
      <w:r w:rsidRPr="003A1409" w:rsidR="00E07CE0">
        <w:rPr>
          <w:rFonts w:cs="Times New Roman"/>
        </w:rPr>
        <w:t xml:space="preserve"> of this section. For each type of purchased power transaction, such as firm power or economy interchange power, monthly expense data shall be subtotaled separately for interchange receipts and deliveries. For monthly fuel accounts 501, 518, 547, and for each type of purchased power transaction, </w:t>
      </w:r>
      <w:r w:rsidR="00204AEF">
        <w:rPr>
          <w:rFonts w:cs="Times New Roman"/>
        </w:rPr>
        <w:t>and for</w:t>
      </w:r>
      <w:r w:rsidR="002E32D2">
        <w:rPr>
          <w:rFonts w:cs="Times New Roman"/>
        </w:rPr>
        <w:t xml:space="preserve"> gas accounts 804 and 880, </w:t>
      </w:r>
      <w:r w:rsidRPr="003A1409" w:rsidR="00E07CE0">
        <w:rPr>
          <w:rFonts w:cs="Times New Roman"/>
        </w:rPr>
        <w:t xml:space="preserve">the monthly data shall identify components to be claimed under the fuel adjustment clause </w:t>
      </w:r>
      <w:r w:rsidR="002E32D2">
        <w:rPr>
          <w:rFonts w:cs="Times New Roman"/>
        </w:rPr>
        <w:t xml:space="preserve">and/or purchased gas adjustment </w:t>
      </w:r>
      <w:r w:rsidRPr="003A1409" w:rsidR="00E07CE0">
        <w:rPr>
          <w:rFonts w:cs="Times New Roman"/>
        </w:rPr>
        <w:t xml:space="preserve">of the utility. </w:t>
      </w:r>
    </w:p>
    <w:p w:rsidRPr="003A1409" w:rsidR="00E07CE0" w:rsidP="0013748A" w:rsidRDefault="00E07CE0" w14:paraId="7D68DB96" w14:textId="77777777">
      <w:pPr>
        <w:pStyle w:val="ListParagraph"/>
        <w:numPr>
          <w:ilvl w:val="1"/>
          <w:numId w:val="13"/>
        </w:numPr>
        <w:spacing w:line="240" w:lineRule="auto"/>
        <w:ind w:left="2880"/>
        <w:jc w:val="both"/>
        <w:rPr>
          <w:rFonts w:cs="Times New Roman"/>
        </w:rPr>
      </w:pPr>
      <w:r w:rsidRPr="009D08D6">
        <w:rPr>
          <w:rFonts w:cs="Times New Roman"/>
        </w:rPr>
        <w:t>Miscellaneous operation and maintenance expense data</w:t>
      </w:r>
      <w:r w:rsidRPr="003A1409">
        <w:rPr>
          <w:rFonts w:cs="Times New Roman"/>
        </w:rPr>
        <w:t xml:space="preserve">. For Period I, furnish a schedule for each of the items listed below and state the account or accounts to which they were charged: </w:t>
      </w:r>
    </w:p>
    <w:p w:rsidRPr="003A1409" w:rsidR="00E07CE0" w:rsidP="0013748A" w:rsidRDefault="00E07CE0" w14:paraId="3ABD0846" w14:textId="77777777">
      <w:pPr>
        <w:pStyle w:val="ListParagraph"/>
        <w:numPr>
          <w:ilvl w:val="2"/>
          <w:numId w:val="13"/>
        </w:numPr>
        <w:spacing w:line="240" w:lineRule="auto"/>
        <w:ind w:left="3600"/>
        <w:jc w:val="both"/>
        <w:rPr>
          <w:rFonts w:cs="Times New Roman"/>
        </w:rPr>
      </w:pPr>
      <w:r w:rsidRPr="003A1409">
        <w:rPr>
          <w:rFonts w:cs="Times New Roman"/>
        </w:rPr>
        <w:t xml:space="preserve">Contributions for charitable, civic, and political and related activities, as defined in account 426.4 of the uniform system of accounts. </w:t>
      </w:r>
    </w:p>
    <w:p w:rsidR="00E07CE0" w:rsidP="0013748A" w:rsidRDefault="00E07CE0" w14:paraId="00F325CC" w14:textId="77777777">
      <w:pPr>
        <w:pStyle w:val="ListParagraph"/>
        <w:numPr>
          <w:ilvl w:val="2"/>
          <w:numId w:val="13"/>
        </w:numPr>
        <w:spacing w:line="240" w:lineRule="auto"/>
        <w:ind w:left="3600"/>
        <w:jc w:val="both"/>
      </w:pPr>
      <w:r w:rsidRPr="003A1409">
        <w:rPr>
          <w:rFonts w:cs="Times New Roman"/>
        </w:rPr>
        <w:t>Membership fees and dues of civic and social organizations</w:t>
      </w:r>
      <w:r>
        <w:t>.</w:t>
      </w:r>
    </w:p>
    <w:p w:rsidRPr="003A1409" w:rsidR="00E07CE0" w:rsidP="0013748A" w:rsidRDefault="00E07CE0" w14:paraId="0AFDB7B6" w14:textId="77777777">
      <w:pPr>
        <w:pStyle w:val="ListParagraph"/>
        <w:numPr>
          <w:ilvl w:val="2"/>
          <w:numId w:val="13"/>
        </w:numPr>
        <w:spacing w:line="240" w:lineRule="auto"/>
        <w:ind w:left="3600"/>
        <w:jc w:val="both"/>
        <w:rPr>
          <w:rFonts w:cs="Times New Roman"/>
        </w:rPr>
      </w:pPr>
      <w:r w:rsidRPr="003A1409">
        <w:rPr>
          <w:rFonts w:cs="Times New Roman"/>
        </w:rPr>
        <w:t xml:space="preserve">Advertising expenses with a description of the purpose (e.g., promotional, civic or political) for each expenditure. </w:t>
      </w:r>
    </w:p>
    <w:p w:rsidRPr="003A1409" w:rsidR="00E07CE0" w:rsidP="0013748A" w:rsidRDefault="00E07CE0" w14:paraId="427D883A" w14:textId="77777777">
      <w:pPr>
        <w:pStyle w:val="ListParagraph"/>
        <w:spacing w:line="240" w:lineRule="auto"/>
        <w:ind w:left="2880"/>
        <w:jc w:val="both"/>
        <w:rPr>
          <w:rFonts w:cs="Times New Roman"/>
        </w:rPr>
      </w:pPr>
      <w:r w:rsidRPr="003A1409">
        <w:rPr>
          <w:rFonts w:cs="Times New Roman"/>
        </w:rPr>
        <w:t xml:space="preserve">For Period II, state the estimated amount of each item which is included in operation expense. </w:t>
      </w:r>
    </w:p>
    <w:p w:rsidRPr="0070494E" w:rsidR="0013748A" w:rsidP="0013748A" w:rsidRDefault="00E07CE0" w14:paraId="43431AB9" w14:textId="324F796F">
      <w:pPr>
        <w:pStyle w:val="ListParagraph"/>
        <w:numPr>
          <w:ilvl w:val="1"/>
          <w:numId w:val="13"/>
        </w:numPr>
        <w:spacing w:line="240" w:lineRule="auto"/>
        <w:ind w:left="2880"/>
        <w:jc w:val="both"/>
        <w:rPr>
          <w:rFonts w:cs="Times New Roman"/>
        </w:rPr>
      </w:pPr>
      <w:r w:rsidRPr="009D08D6">
        <w:rPr>
          <w:rFonts w:cs="Times New Roman"/>
        </w:rPr>
        <w:t>Depreciation expense</w:t>
      </w:r>
      <w:r w:rsidRPr="003A1409">
        <w:rPr>
          <w:rFonts w:cs="Times New Roman"/>
          <w:i/>
          <w:iCs/>
        </w:rPr>
        <w:t>.</w:t>
      </w:r>
      <w:r w:rsidRPr="003A1409">
        <w:rPr>
          <w:rFonts w:cs="Times New Roman"/>
        </w:rPr>
        <w:t xml:space="preserve"> For Period I, a schedule showing total company depreciation expense by function for actual operations, a summary of pro forma adjustments by function, including a </w:t>
      </w:r>
      <w:r w:rsidRPr="003A1409">
        <w:rPr>
          <w:rFonts w:cs="Times New Roman"/>
        </w:rPr>
        <w:lastRenderedPageBreak/>
        <w:t xml:space="preserve">description and the amount of each adjustment and total company depreciation expense by function for pro forma adjusted operations. For Period II, a schedule showing total company depreciation expense by function for projected operations. Also provide a schedule for Period I and Period II showing the annual depreciation rate applicable to each function. The total company depreciation expense shown on the statement shall agree with the amounts operating in the statement in </w:t>
      </w:r>
      <w:r w:rsidRPr="0013748A">
        <w:rPr>
          <w:rFonts w:cs="Times New Roman"/>
        </w:rPr>
        <w:t>subsection (1)</w:t>
      </w:r>
      <w:r w:rsidRPr="003A1409">
        <w:rPr>
          <w:rFonts w:cs="Times New Roman"/>
        </w:rPr>
        <w:t xml:space="preserve"> </w:t>
      </w:r>
      <w:r w:rsidR="00291456">
        <w:rPr>
          <w:rFonts w:cs="Times New Roman"/>
        </w:rPr>
        <w:t xml:space="preserve">d. and subsection (6) b. </w:t>
      </w:r>
      <w:r w:rsidRPr="003A1409">
        <w:rPr>
          <w:rFonts w:cs="Times New Roman"/>
        </w:rPr>
        <w:t xml:space="preserve">of this section. </w:t>
      </w:r>
    </w:p>
    <w:p w:rsidR="0013748A" w:rsidP="0070494E" w:rsidRDefault="00E07CE0" w14:paraId="5C5C640A" w14:textId="77777777">
      <w:pPr>
        <w:pStyle w:val="ListParagraph"/>
        <w:numPr>
          <w:ilvl w:val="1"/>
          <w:numId w:val="13"/>
        </w:numPr>
        <w:spacing w:line="240" w:lineRule="auto"/>
        <w:ind w:left="2880"/>
        <w:jc w:val="both"/>
        <w:rPr>
          <w:rFonts w:cs="Times New Roman"/>
        </w:rPr>
      </w:pPr>
      <w:r w:rsidRPr="009D08D6">
        <w:rPr>
          <w:rFonts w:cs="Times New Roman"/>
        </w:rPr>
        <w:t>Taxes other than income.</w:t>
      </w:r>
      <w:r w:rsidRPr="003A1409">
        <w:rPr>
          <w:rFonts w:cs="Times New Roman"/>
        </w:rPr>
        <w:t xml:space="preserve"> For Period I, for actual operations, a schedule showing total company taxes other than income by component, i.e., revenue taxes, real estate taxes, payroll taxes, and miscellaneous taxes. Also provide for pro forma adjusted operations a summary of pro forma adjustments, including a description and the amount of each adjustment and total company taxes other than income by component. For Period II, a schedule showing total company taxes other than income by component for projected operations. The total company taxes other than income shown on this schedule shall agree with the amounts appearing in the statement in </w:t>
      </w:r>
      <w:r w:rsidRPr="0013748A">
        <w:rPr>
          <w:rFonts w:cs="Times New Roman"/>
        </w:rPr>
        <w:t>subsection (1)</w:t>
      </w:r>
      <w:r w:rsidR="00291456">
        <w:rPr>
          <w:rFonts w:cs="Times New Roman"/>
        </w:rPr>
        <w:t xml:space="preserve"> d. and subsection (6) b.</w:t>
      </w:r>
      <w:r w:rsidRPr="003A1409">
        <w:rPr>
          <w:rFonts w:cs="Times New Roman"/>
        </w:rPr>
        <w:t xml:space="preserve"> of this section.</w:t>
      </w:r>
    </w:p>
    <w:p w:rsidRPr="0013748A" w:rsidR="0013748A" w:rsidP="0070494E" w:rsidRDefault="0013748A" w14:paraId="269B2C40" w14:textId="74CB491C">
      <w:pPr>
        <w:pStyle w:val="ListParagraph"/>
        <w:numPr>
          <w:ilvl w:val="1"/>
          <w:numId w:val="13"/>
        </w:numPr>
        <w:spacing w:line="240" w:lineRule="auto"/>
        <w:ind w:left="2880"/>
        <w:jc w:val="both"/>
        <w:rPr>
          <w:rFonts w:cs="Times New Roman"/>
        </w:rPr>
      </w:pPr>
      <w:r w:rsidRPr="0013748A">
        <w:rPr>
          <w:rFonts w:cs="Times New Roman"/>
        </w:rPr>
        <w:t>Income taxes, state and federal. For Period I, a schedule showing the calculation of total company current and deferred state and federal income taxes for actual operations, a summary of pro forma adjustments, including a description and the amount of each adjustment and total company current and deferred state and federal incomes taxes for pro forma adjusted operations. Also furnish, for the most recent year available, a reconciliation of book income to taxable income in a format similar to that required in FERC Form No. 1. For Period II, provide a schedule showing the calculation of total company current and deferred state and federal income taxes for projected operations. The total company current and deferred state and federal income taxes shown on this schedule shall agree with the amounts appearing in the statement in subsection (1) d. and subsection (6) b. of this section.</w:t>
      </w:r>
    </w:p>
    <w:p w:rsidRPr="003A1409" w:rsidR="00E07CE0" w:rsidP="0070494E" w:rsidRDefault="00E07CE0" w14:paraId="4D64F3B9" w14:textId="77777777">
      <w:pPr>
        <w:pStyle w:val="ListParagraph"/>
        <w:numPr>
          <w:ilvl w:val="1"/>
          <w:numId w:val="13"/>
        </w:numPr>
        <w:spacing w:line="240" w:lineRule="auto"/>
        <w:ind w:left="2880"/>
        <w:jc w:val="both"/>
        <w:rPr>
          <w:rFonts w:cs="Times New Roman"/>
        </w:rPr>
      </w:pPr>
      <w:r w:rsidRPr="009D08D6">
        <w:rPr>
          <w:rFonts w:cs="Times New Roman"/>
        </w:rPr>
        <w:t>Gross revenue conversion factor.</w:t>
      </w:r>
      <w:r w:rsidRPr="003A1409">
        <w:rPr>
          <w:rFonts w:cs="Times New Roman"/>
        </w:rPr>
        <w:t xml:space="preserve"> For Period I and Period II, a schedule showing the calculation of the gross revenue conversion factor. </w:t>
      </w:r>
    </w:p>
    <w:p w:rsidRPr="003A1409" w:rsidR="00E07CE0" w:rsidP="0070494E" w:rsidRDefault="00E07CE0" w14:paraId="34E6DA1F" w14:textId="56363A86">
      <w:pPr>
        <w:pStyle w:val="ListParagraph"/>
        <w:numPr>
          <w:ilvl w:val="1"/>
          <w:numId w:val="13"/>
        </w:numPr>
        <w:spacing w:line="240" w:lineRule="auto"/>
        <w:ind w:left="2880"/>
        <w:jc w:val="both"/>
        <w:rPr>
          <w:rFonts w:cs="Times New Roman"/>
        </w:rPr>
      </w:pPr>
      <w:r w:rsidRPr="009D08D6">
        <w:rPr>
          <w:rFonts w:cs="Times New Roman"/>
        </w:rPr>
        <w:t>Tax expansion factor</w:t>
      </w:r>
      <w:r w:rsidRPr="003A1409">
        <w:rPr>
          <w:rFonts w:cs="Times New Roman"/>
        </w:rPr>
        <w:t xml:space="preserve">. For Period I and Period II, provide a schedule showing the calculation of the combined state, federal, and revenue tax effects </w:t>
      </w:r>
      <w:r w:rsidR="00FD66B3">
        <w:rPr>
          <w:rFonts w:cs="Times New Roman"/>
        </w:rPr>
        <w:t>that</w:t>
      </w:r>
      <w:r w:rsidRPr="003A1409">
        <w:rPr>
          <w:rFonts w:cs="Times New Roman"/>
        </w:rPr>
        <w:t xml:space="preserve"> would arise from an additional dollar of net operating income. </w:t>
      </w:r>
    </w:p>
    <w:p w:rsidRPr="003A1409" w:rsidR="00E07CE0" w:rsidP="0070494E" w:rsidRDefault="00E07CE0" w14:paraId="174AAFE8" w14:textId="2061A349">
      <w:pPr>
        <w:pStyle w:val="ListParagraph"/>
        <w:numPr>
          <w:ilvl w:val="1"/>
          <w:numId w:val="13"/>
        </w:numPr>
        <w:spacing w:line="240" w:lineRule="auto"/>
        <w:ind w:left="2880"/>
        <w:jc w:val="both"/>
        <w:rPr>
          <w:rFonts w:cs="Times New Roman"/>
        </w:rPr>
      </w:pPr>
      <w:r w:rsidRPr="009D08D6">
        <w:rPr>
          <w:rFonts w:cs="Times New Roman"/>
        </w:rPr>
        <w:t>Other utility income and deductions.</w:t>
      </w:r>
      <w:r w:rsidRPr="003A1409">
        <w:rPr>
          <w:rFonts w:cs="Times New Roman"/>
          <w:i/>
          <w:iCs/>
        </w:rPr>
        <w:t xml:space="preserve"> </w:t>
      </w:r>
      <w:r w:rsidRPr="003A1409">
        <w:rPr>
          <w:rFonts w:cs="Times New Roman"/>
        </w:rPr>
        <w:t xml:space="preserve">For Period I, provide a schedule showing for the total company other income and other income deductions for actual utility operations, a summary of pro forma adjustments, including calculations and assumptions, and total company other income and other income deductions for pro </w:t>
      </w:r>
      <w:r w:rsidRPr="003A1409">
        <w:rPr>
          <w:rFonts w:cs="Times New Roman"/>
        </w:rPr>
        <w:lastRenderedPageBreak/>
        <w:t xml:space="preserve">forma adjusted operations. For Period II, provide a schedule showing  the total company other income and other income deductions for projected operations. The total company other income and other income deductions shown on this schedule shall agree with the amounts appearing in the statement in </w:t>
      </w:r>
      <w:r w:rsidRPr="0013748A">
        <w:rPr>
          <w:rFonts w:cs="Times New Roman"/>
        </w:rPr>
        <w:t>subsection (1)</w:t>
      </w:r>
      <w:r w:rsidRPr="00291456" w:rsidR="00291456">
        <w:rPr>
          <w:rFonts w:cs="Times New Roman"/>
        </w:rPr>
        <w:t xml:space="preserve"> </w:t>
      </w:r>
      <w:r w:rsidR="00291456">
        <w:rPr>
          <w:rFonts w:cs="Times New Roman"/>
        </w:rPr>
        <w:t>d. and subsection (6) b.</w:t>
      </w:r>
      <w:r w:rsidRPr="003A1409">
        <w:rPr>
          <w:rFonts w:cs="Times New Roman"/>
        </w:rPr>
        <w:t xml:space="preserve"> of this section. </w:t>
      </w:r>
    </w:p>
    <w:p w:rsidRPr="003A1409" w:rsidR="00E07CE0" w:rsidP="0070494E" w:rsidRDefault="00E07CE0" w14:paraId="274B0630" w14:textId="4B095A60">
      <w:pPr>
        <w:pStyle w:val="ListParagraph"/>
        <w:numPr>
          <w:ilvl w:val="1"/>
          <w:numId w:val="13"/>
        </w:numPr>
        <w:spacing w:line="240" w:lineRule="auto"/>
        <w:ind w:left="2880"/>
        <w:jc w:val="both"/>
        <w:rPr>
          <w:rFonts w:cs="Times New Roman"/>
        </w:rPr>
      </w:pPr>
      <w:r w:rsidRPr="009D08D6">
        <w:rPr>
          <w:rFonts w:cs="Times New Roman"/>
        </w:rPr>
        <w:t>Interest coverages</w:t>
      </w:r>
      <w:r w:rsidRPr="003A1409">
        <w:rPr>
          <w:rFonts w:cs="Times New Roman"/>
          <w:i/>
          <w:iCs/>
        </w:rPr>
        <w:t>.</w:t>
      </w:r>
      <w:r w:rsidRPr="003A1409">
        <w:rPr>
          <w:rFonts w:cs="Times New Roman"/>
        </w:rPr>
        <w:t xml:space="preserve"> For Period I and Period II, provide schedules showing the</w:t>
      </w:r>
      <w:r w:rsidR="00FD66B3">
        <w:rPr>
          <w:rFonts w:cs="Times New Roman"/>
        </w:rPr>
        <w:t xml:space="preserve"> </w:t>
      </w:r>
      <w:r w:rsidRPr="003A1409">
        <w:rPr>
          <w:rFonts w:cs="Times New Roman"/>
        </w:rPr>
        <w:t xml:space="preserve">interest coverage using each of the five following methods: </w:t>
      </w:r>
    </w:p>
    <w:p w:rsidRPr="003A1409" w:rsidR="00E07CE0" w:rsidP="0013748A" w:rsidRDefault="00E07CE0" w14:paraId="04392E0B" w14:textId="77777777">
      <w:pPr>
        <w:pStyle w:val="ListParagraph"/>
        <w:numPr>
          <w:ilvl w:val="2"/>
          <w:numId w:val="13"/>
        </w:numPr>
        <w:spacing w:line="240" w:lineRule="auto"/>
        <w:ind w:left="3614" w:hanging="187"/>
        <w:jc w:val="both"/>
        <w:rPr>
          <w:rFonts w:cs="Times New Roman"/>
        </w:rPr>
      </w:pPr>
      <w:r w:rsidRPr="003A1409">
        <w:rPr>
          <w:rFonts w:cs="Times New Roman"/>
        </w:rPr>
        <w:t xml:space="preserve">The Securities and Exchange Commission method; </w:t>
      </w:r>
    </w:p>
    <w:p w:rsidRPr="003A1409" w:rsidR="00E07CE0" w:rsidP="003D411B" w:rsidRDefault="00E07CE0" w14:paraId="20A7FDDE" w14:textId="77777777">
      <w:pPr>
        <w:pStyle w:val="ListParagraph"/>
        <w:numPr>
          <w:ilvl w:val="2"/>
          <w:numId w:val="13"/>
        </w:numPr>
        <w:ind w:left="3600"/>
        <w:jc w:val="both"/>
        <w:rPr>
          <w:rFonts w:cs="Times New Roman"/>
        </w:rPr>
      </w:pPr>
      <w:r w:rsidRPr="003A1409">
        <w:rPr>
          <w:rFonts w:cs="Times New Roman"/>
        </w:rPr>
        <w:t xml:space="preserve">The bond indenture method; </w:t>
      </w:r>
    </w:p>
    <w:p w:rsidRPr="003A1409" w:rsidR="00E07CE0" w:rsidP="003D411B" w:rsidRDefault="00E07CE0" w14:paraId="67C2E505" w14:textId="77777777">
      <w:pPr>
        <w:pStyle w:val="ListParagraph"/>
        <w:numPr>
          <w:ilvl w:val="2"/>
          <w:numId w:val="13"/>
        </w:numPr>
        <w:ind w:left="3600"/>
        <w:jc w:val="both"/>
        <w:rPr>
          <w:rFonts w:cs="Times New Roman"/>
        </w:rPr>
      </w:pPr>
      <w:r w:rsidRPr="003A1409">
        <w:rPr>
          <w:rFonts w:cs="Times New Roman"/>
        </w:rPr>
        <w:t>The bond indenture method including interest on short-term debt.</w:t>
      </w:r>
    </w:p>
    <w:p w:rsidRPr="003A1409" w:rsidR="00E07CE0" w:rsidP="003D411B" w:rsidRDefault="00E07CE0" w14:paraId="3AD8D393" w14:textId="77777777">
      <w:pPr>
        <w:pStyle w:val="ListParagraph"/>
        <w:numPr>
          <w:ilvl w:val="2"/>
          <w:numId w:val="13"/>
        </w:numPr>
        <w:ind w:left="3600"/>
        <w:jc w:val="both"/>
        <w:rPr>
          <w:rFonts w:cs="Times New Roman"/>
        </w:rPr>
      </w:pPr>
      <w:r w:rsidRPr="003A1409">
        <w:rPr>
          <w:rFonts w:cs="Times New Roman"/>
        </w:rPr>
        <w:t xml:space="preserve">Earnings Before Interest and Taxes ("EBIT"); </w:t>
      </w:r>
    </w:p>
    <w:p w:rsidRPr="003A1409" w:rsidR="00E07CE0" w:rsidP="003D411B" w:rsidRDefault="00E07CE0" w14:paraId="2B397151" w14:textId="40DCFAB4">
      <w:pPr>
        <w:pStyle w:val="ListParagraph"/>
        <w:numPr>
          <w:ilvl w:val="2"/>
          <w:numId w:val="13"/>
        </w:numPr>
        <w:ind w:left="3600"/>
        <w:jc w:val="both"/>
        <w:rPr>
          <w:rFonts w:cs="Times New Roman"/>
        </w:rPr>
      </w:pPr>
      <w:r w:rsidRPr="003A1409">
        <w:rPr>
          <w:rFonts w:cs="Times New Roman"/>
        </w:rPr>
        <w:t>Earnings Before Interest, Taxes, Depreciation, and Amortization (</w:t>
      </w:r>
      <w:r w:rsidR="00FD66B3">
        <w:rPr>
          <w:rFonts w:cs="Times New Roman"/>
        </w:rPr>
        <w:t>“</w:t>
      </w:r>
      <w:r w:rsidRPr="003A1409">
        <w:rPr>
          <w:rFonts w:cs="Times New Roman"/>
        </w:rPr>
        <w:t xml:space="preserve">EBITDA"). </w:t>
      </w:r>
    </w:p>
    <w:p w:rsidRPr="009D08D6" w:rsidR="00E07CE0" w:rsidP="0013748A" w:rsidRDefault="00E07CE0" w14:paraId="55BCEBC5" w14:textId="0ED54479">
      <w:pPr>
        <w:pStyle w:val="ListParagraph"/>
        <w:numPr>
          <w:ilvl w:val="0"/>
          <w:numId w:val="13"/>
        </w:numPr>
        <w:spacing w:line="240" w:lineRule="auto"/>
        <w:ind w:left="2160"/>
        <w:jc w:val="both"/>
        <w:rPr>
          <w:rFonts w:cs="Times New Roman"/>
        </w:rPr>
      </w:pPr>
      <w:r w:rsidRPr="009D08D6">
        <w:rPr>
          <w:rFonts w:cs="Times New Roman"/>
        </w:rPr>
        <w:t xml:space="preserve">Cost of Capital. </w:t>
      </w:r>
    </w:p>
    <w:p w:rsidRPr="003A1409" w:rsidR="00E07CE0" w:rsidP="0013748A" w:rsidRDefault="00E07CE0" w14:paraId="4BADB903" w14:textId="77777777">
      <w:pPr>
        <w:pStyle w:val="ListParagraph"/>
        <w:spacing w:line="240" w:lineRule="auto"/>
        <w:ind w:left="2160"/>
        <w:jc w:val="both"/>
        <w:rPr>
          <w:rFonts w:cs="Times New Roman"/>
        </w:rPr>
      </w:pPr>
      <w:r w:rsidRPr="003A1409">
        <w:rPr>
          <w:rFonts w:cs="Times New Roman"/>
        </w:rPr>
        <w:t>Each applicant under this article shall provide the following:</w:t>
      </w:r>
    </w:p>
    <w:p w:rsidRPr="003A1409" w:rsidR="00E07CE0" w:rsidP="0070494E" w:rsidRDefault="00E07CE0" w14:paraId="629F76C3" w14:textId="77777777">
      <w:pPr>
        <w:pStyle w:val="ListParagraph"/>
        <w:numPr>
          <w:ilvl w:val="1"/>
          <w:numId w:val="1"/>
        </w:numPr>
        <w:spacing w:line="240" w:lineRule="auto"/>
        <w:ind w:left="2880"/>
        <w:jc w:val="both"/>
        <w:rPr>
          <w:rFonts w:cs="Times New Roman"/>
        </w:rPr>
      </w:pPr>
      <w:r w:rsidRPr="003A1409">
        <w:rPr>
          <w:rFonts w:cs="Times New Roman"/>
        </w:rPr>
        <w:t xml:space="preserve">Cost of capital. For Period I and Period II, a summary of capitalization balances, capitalization ratios, the cost of debt capital and preferred stock capital, weighted cost of each element, the rate of return on the common equity of the utility and the resulting overall rate of return. </w:t>
      </w:r>
    </w:p>
    <w:p w:rsidRPr="003A1409" w:rsidR="00E07CE0" w:rsidP="0070494E" w:rsidRDefault="00E07CE0" w14:paraId="1A9C0C68" w14:textId="4078BC99">
      <w:pPr>
        <w:pStyle w:val="ListParagraph"/>
        <w:numPr>
          <w:ilvl w:val="1"/>
          <w:numId w:val="1"/>
        </w:numPr>
        <w:spacing w:line="240" w:lineRule="auto"/>
        <w:ind w:left="2880"/>
        <w:jc w:val="both"/>
        <w:rPr>
          <w:rFonts w:cs="Times New Roman"/>
        </w:rPr>
      </w:pPr>
      <w:r w:rsidRPr="003A1409">
        <w:rPr>
          <w:rFonts w:cs="Times New Roman"/>
        </w:rPr>
        <w:t xml:space="preserve">Long-term debt capital. For Period I and Period II, a schedule showing the coupon rate, dates of issue and maturity, principal amount, issuance expense, debt discount or premium, net proceeds, amount outstanding, annual amortization, annual interest charges and annual cost by issue of all long-term debt outstanding as of the end of the period. Based on this information, compute the embedded cost of long-term debt. This embedded cost shall agree with the cost of debt which appears in the statement </w:t>
      </w:r>
      <w:r w:rsidRPr="0013748A">
        <w:rPr>
          <w:rFonts w:cs="Times New Roman"/>
        </w:rPr>
        <w:t>in subsection (1)</w:t>
      </w:r>
      <w:r w:rsidRPr="00291456" w:rsidR="00291456">
        <w:rPr>
          <w:rFonts w:cs="Times New Roman"/>
        </w:rPr>
        <w:t xml:space="preserve"> </w:t>
      </w:r>
      <w:bookmarkStart w:name="_Hlk206686643" w:id="17"/>
      <w:r w:rsidR="00291456">
        <w:rPr>
          <w:rFonts w:cs="Times New Roman"/>
        </w:rPr>
        <w:t>d. and subsection (6) d.</w:t>
      </w:r>
      <w:bookmarkEnd w:id="17"/>
      <w:r w:rsidRPr="003A1409">
        <w:rPr>
          <w:rFonts w:cs="Times New Roman"/>
        </w:rPr>
        <w:t xml:space="preserve"> of this section.</w:t>
      </w:r>
    </w:p>
    <w:p w:rsidRPr="003A1409" w:rsidR="00E07CE0" w:rsidP="0070494E" w:rsidRDefault="00E07CE0" w14:paraId="6F94A508" w14:textId="09E7964F">
      <w:pPr>
        <w:pStyle w:val="ListParagraph"/>
        <w:numPr>
          <w:ilvl w:val="1"/>
          <w:numId w:val="1"/>
        </w:numPr>
        <w:spacing w:line="240" w:lineRule="auto"/>
        <w:ind w:left="2880"/>
        <w:jc w:val="both"/>
        <w:rPr>
          <w:rFonts w:cs="Times New Roman"/>
        </w:rPr>
      </w:pPr>
      <w:r w:rsidRPr="003A1409">
        <w:rPr>
          <w:rFonts w:cs="Times New Roman"/>
        </w:rPr>
        <w:t>Preferred stock. For Period I and Period II, a schedule showing the dividend rate, type, per value, date issued, shares issued and outstanding,</w:t>
      </w:r>
      <w:r w:rsidR="0041443C">
        <w:rPr>
          <w:rFonts w:cs="Times New Roman"/>
        </w:rPr>
        <w:t xml:space="preserve"> </w:t>
      </w:r>
      <w:r w:rsidRPr="003A1409">
        <w:rPr>
          <w:rFonts w:cs="Times New Roman"/>
        </w:rPr>
        <w:t xml:space="preserve">amount outstanding, issuance expense, discount or premium and annual dividends for each issue of preferred stock at the end of the period. Based on this information, compute the embedded cost of preferred stock. This embedded cost shall agree with the cost of preferred stock which appears in the statement in </w:t>
      </w:r>
      <w:r w:rsidRPr="0013748A">
        <w:rPr>
          <w:rFonts w:cs="Times New Roman"/>
        </w:rPr>
        <w:t>subsection (1)</w:t>
      </w:r>
      <w:r w:rsidRPr="003A1409">
        <w:rPr>
          <w:rFonts w:cs="Times New Roman"/>
        </w:rPr>
        <w:t xml:space="preserve"> </w:t>
      </w:r>
      <w:r w:rsidR="00291456">
        <w:rPr>
          <w:rFonts w:cs="Times New Roman"/>
        </w:rPr>
        <w:t xml:space="preserve">d. and subsection (6) d. </w:t>
      </w:r>
      <w:r w:rsidRPr="003A1409">
        <w:rPr>
          <w:rFonts w:cs="Times New Roman"/>
        </w:rPr>
        <w:t xml:space="preserve">of this section. </w:t>
      </w:r>
    </w:p>
    <w:p w:rsidR="00364CF0" w:rsidP="0070494E" w:rsidRDefault="00E07CE0" w14:paraId="3CFB55DF" w14:textId="49519B59">
      <w:pPr>
        <w:pStyle w:val="ListParagraph"/>
        <w:numPr>
          <w:ilvl w:val="1"/>
          <w:numId w:val="1"/>
        </w:numPr>
        <w:spacing w:line="240" w:lineRule="auto"/>
        <w:ind w:left="2880"/>
        <w:jc w:val="both"/>
        <w:rPr>
          <w:rFonts w:cs="Times New Roman"/>
        </w:rPr>
      </w:pPr>
      <w:r w:rsidRPr="003A1409">
        <w:rPr>
          <w:rFonts w:cs="Times New Roman"/>
        </w:rPr>
        <w:t xml:space="preserve">Common equity. For Period I and Period II, a schedule showing, by FERC account, the makeup of the common equity balance at the end of each period. Also show the rate of dividends being paid on the outstanding common stock, the rate of return on common equity actually earned during Period I, and the rate of return being requested for Period II. The equity rates actually earned for Period I </w:t>
      </w:r>
      <w:r w:rsidRPr="003A1409">
        <w:rPr>
          <w:rFonts w:cs="Times New Roman"/>
        </w:rPr>
        <w:lastRenderedPageBreak/>
        <w:t xml:space="preserve">and being requested for Period II shall agree with the respective rates which appear in the statement in </w:t>
      </w:r>
      <w:r w:rsidRPr="0013748A">
        <w:rPr>
          <w:rFonts w:cs="Times New Roman"/>
        </w:rPr>
        <w:t>subsection (1)</w:t>
      </w:r>
      <w:r w:rsidRPr="00291456" w:rsidR="00291456">
        <w:rPr>
          <w:rFonts w:cs="Times New Roman"/>
        </w:rPr>
        <w:t xml:space="preserve"> </w:t>
      </w:r>
      <w:r w:rsidR="00291456">
        <w:rPr>
          <w:rFonts w:cs="Times New Roman"/>
        </w:rPr>
        <w:t>d. and subsection (6) d.</w:t>
      </w:r>
      <w:r w:rsidRPr="003A1409">
        <w:rPr>
          <w:rFonts w:cs="Times New Roman"/>
        </w:rPr>
        <w:t xml:space="preserve"> of this section.</w:t>
      </w:r>
    </w:p>
    <w:p w:rsidRPr="003A1409" w:rsidR="00E07CE0" w:rsidP="0013748A" w:rsidRDefault="00E07CE0" w14:paraId="348C070A" w14:textId="63FEE57D">
      <w:pPr>
        <w:pStyle w:val="ListParagraph"/>
        <w:spacing w:line="240" w:lineRule="auto"/>
        <w:ind w:left="2880"/>
        <w:jc w:val="both"/>
        <w:rPr>
          <w:rFonts w:cs="Times New Roman"/>
        </w:rPr>
      </w:pPr>
    </w:p>
    <w:p w:rsidRPr="00865F09" w:rsidR="00364CF0" w:rsidP="00865F09" w:rsidRDefault="00E07CE0" w14:paraId="30545FE1" w14:textId="2FECAF7F">
      <w:pPr>
        <w:pStyle w:val="ListParagraph"/>
        <w:numPr>
          <w:ilvl w:val="0"/>
          <w:numId w:val="13"/>
        </w:numPr>
        <w:spacing w:line="240" w:lineRule="auto"/>
        <w:ind w:left="2160"/>
        <w:jc w:val="both"/>
        <w:rPr>
          <w:rFonts w:cs="Times New Roman"/>
          <w:b/>
          <w:bCs/>
        </w:rPr>
      </w:pPr>
      <w:r w:rsidRPr="009D08D6">
        <w:rPr>
          <w:rFonts w:cs="Times New Roman"/>
        </w:rPr>
        <w:t xml:space="preserve">Financial </w:t>
      </w:r>
      <w:r w:rsidRPr="00280AC9" w:rsidR="00280AC9">
        <w:rPr>
          <w:rFonts w:cs="Times New Roman"/>
        </w:rPr>
        <w:t>s</w:t>
      </w:r>
      <w:r w:rsidRPr="009D08D6">
        <w:rPr>
          <w:rFonts w:cs="Times New Roman"/>
        </w:rPr>
        <w:t xml:space="preserve">tatements and </w:t>
      </w:r>
      <w:r w:rsidRPr="00280AC9" w:rsidR="00280AC9">
        <w:rPr>
          <w:rFonts w:cs="Times New Roman"/>
        </w:rPr>
        <w:t>s</w:t>
      </w:r>
      <w:r w:rsidRPr="009D08D6">
        <w:rPr>
          <w:rFonts w:cs="Times New Roman"/>
        </w:rPr>
        <w:t xml:space="preserve">tatistical </w:t>
      </w:r>
      <w:r w:rsidRPr="00280AC9" w:rsidR="00280AC9">
        <w:rPr>
          <w:rFonts w:cs="Times New Roman"/>
        </w:rPr>
        <w:t>d</w:t>
      </w:r>
      <w:r w:rsidRPr="009D08D6">
        <w:rPr>
          <w:rFonts w:cs="Times New Roman"/>
        </w:rPr>
        <w:t>ata</w:t>
      </w:r>
      <w:r w:rsidR="00280AC9">
        <w:rPr>
          <w:rFonts w:cs="Times New Roman"/>
          <w:b/>
          <w:bCs/>
        </w:rPr>
        <w:t>.</w:t>
      </w:r>
      <w:r w:rsidRPr="003A1409">
        <w:rPr>
          <w:rFonts w:cs="Times New Roman"/>
          <w:b/>
          <w:bCs/>
        </w:rPr>
        <w:t xml:space="preserve"> </w:t>
      </w:r>
    </w:p>
    <w:p w:rsidRPr="003A1409" w:rsidR="00E07CE0" w:rsidP="0013748A" w:rsidRDefault="00E07CE0" w14:paraId="68B3F526" w14:textId="590BAF63">
      <w:pPr>
        <w:pStyle w:val="ListParagraph"/>
        <w:spacing w:line="240" w:lineRule="auto"/>
        <w:ind w:left="2160"/>
        <w:jc w:val="both"/>
        <w:rPr>
          <w:rFonts w:cs="Times New Roman"/>
        </w:rPr>
      </w:pPr>
      <w:r w:rsidRPr="003A1409">
        <w:rPr>
          <w:rFonts w:cs="Times New Roman"/>
        </w:rPr>
        <w:t xml:space="preserve">If the following data is presently on file with the council a reference to such filing will be sufficient: </w:t>
      </w:r>
    </w:p>
    <w:p w:rsidRPr="003A1409" w:rsidR="00E07CE0" w:rsidP="0070494E" w:rsidRDefault="00E07CE0" w14:paraId="5AD0AB83" w14:textId="77777777">
      <w:pPr>
        <w:pStyle w:val="ListParagraph"/>
        <w:numPr>
          <w:ilvl w:val="1"/>
          <w:numId w:val="13"/>
        </w:numPr>
        <w:spacing w:line="240" w:lineRule="auto"/>
        <w:ind w:left="2880"/>
        <w:jc w:val="both"/>
        <w:rPr>
          <w:rFonts w:cs="Times New Roman"/>
        </w:rPr>
      </w:pPr>
      <w:r w:rsidRPr="003A1409">
        <w:rPr>
          <w:rFonts w:cs="Times New Roman"/>
        </w:rPr>
        <w:t xml:space="preserve">Historical balance sheets. Provide historical company comparative balance sheets for the most recent five fiscal years. </w:t>
      </w:r>
    </w:p>
    <w:p w:rsidRPr="003A1409" w:rsidR="00E07CE0" w:rsidP="0070494E" w:rsidRDefault="00E07CE0" w14:paraId="1250B256" w14:textId="77777777">
      <w:pPr>
        <w:pStyle w:val="ListParagraph"/>
        <w:numPr>
          <w:ilvl w:val="1"/>
          <w:numId w:val="13"/>
        </w:numPr>
        <w:spacing w:line="240" w:lineRule="auto"/>
        <w:ind w:left="2880"/>
        <w:jc w:val="both"/>
        <w:rPr>
          <w:rFonts w:cs="Times New Roman"/>
        </w:rPr>
      </w:pPr>
      <w:r w:rsidRPr="003A1409">
        <w:rPr>
          <w:rFonts w:cs="Times New Roman"/>
        </w:rPr>
        <w:t xml:space="preserve">Historical income statements. Provide historical company comparative income statements for the most recent five fiscal years. </w:t>
      </w:r>
    </w:p>
    <w:p w:rsidRPr="003A1409" w:rsidR="00E07CE0" w:rsidP="0070494E" w:rsidRDefault="00E07CE0" w14:paraId="3CD63661" w14:textId="77777777">
      <w:pPr>
        <w:pStyle w:val="ListParagraph"/>
        <w:numPr>
          <w:ilvl w:val="1"/>
          <w:numId w:val="13"/>
        </w:numPr>
        <w:spacing w:line="240" w:lineRule="auto"/>
        <w:ind w:left="2880"/>
        <w:jc w:val="both"/>
        <w:rPr>
          <w:rFonts w:cs="Times New Roman"/>
        </w:rPr>
      </w:pPr>
      <w:r w:rsidRPr="003A1409">
        <w:rPr>
          <w:rFonts w:cs="Times New Roman"/>
        </w:rPr>
        <w:t xml:space="preserve">Historical statement of retained earnings. Provide historical company comparative statements of retained earnings for the most recent five fiscal years. </w:t>
      </w:r>
    </w:p>
    <w:p w:rsidR="00364CF0" w:rsidP="0070494E" w:rsidRDefault="00E07CE0" w14:paraId="47DCED63" w14:textId="6801AAD8">
      <w:pPr>
        <w:pStyle w:val="ListParagraph"/>
        <w:numPr>
          <w:ilvl w:val="1"/>
          <w:numId w:val="13"/>
        </w:numPr>
        <w:spacing w:line="240" w:lineRule="auto"/>
        <w:ind w:left="2880"/>
        <w:jc w:val="both"/>
        <w:rPr>
          <w:rFonts w:cs="Times New Roman"/>
        </w:rPr>
      </w:pPr>
      <w:r w:rsidRPr="003A1409">
        <w:rPr>
          <w:rFonts w:cs="Times New Roman"/>
        </w:rPr>
        <w:t xml:space="preserve">Historical capitalization. Provide historical company comparative capitalization for the most recent five fiscal years. This information should be similar to the information provided in section </w:t>
      </w:r>
      <w:r w:rsidRPr="0013748A">
        <w:rPr>
          <w:rFonts w:cs="Times New Roman"/>
        </w:rPr>
        <w:t>158-</w:t>
      </w:r>
      <w:r w:rsidR="00291456">
        <w:rPr>
          <w:rFonts w:cs="Times New Roman"/>
        </w:rPr>
        <w:t>53</w:t>
      </w:r>
      <w:r w:rsidRPr="003A1409">
        <w:rPr>
          <w:rFonts w:cs="Times New Roman"/>
        </w:rPr>
        <w:t>.</w:t>
      </w:r>
    </w:p>
    <w:p w:rsidRPr="003A1409" w:rsidR="00E07CE0" w:rsidP="0013748A" w:rsidRDefault="00E07CE0" w14:paraId="00F0F65E" w14:textId="17909C7A">
      <w:pPr>
        <w:pStyle w:val="ListParagraph"/>
        <w:spacing w:line="240" w:lineRule="auto"/>
        <w:ind w:left="2880"/>
        <w:jc w:val="both"/>
        <w:rPr>
          <w:rFonts w:cs="Times New Roman"/>
        </w:rPr>
      </w:pPr>
      <w:r w:rsidRPr="003A1409">
        <w:rPr>
          <w:rFonts w:cs="Times New Roman"/>
        </w:rPr>
        <w:t xml:space="preserve"> </w:t>
      </w:r>
    </w:p>
    <w:p w:rsidRPr="003A1409" w:rsidR="00E07CE0" w:rsidP="0013748A" w:rsidRDefault="008D276F" w14:paraId="3728206F" w14:textId="344A7F13">
      <w:pPr>
        <w:pStyle w:val="ListParagraph"/>
        <w:numPr>
          <w:ilvl w:val="0"/>
          <w:numId w:val="13"/>
        </w:numPr>
        <w:spacing w:line="240" w:lineRule="auto"/>
        <w:ind w:left="2160"/>
        <w:jc w:val="both"/>
        <w:rPr>
          <w:rFonts w:cs="Times New Roman"/>
          <w:b/>
          <w:bCs/>
        </w:rPr>
      </w:pPr>
      <w:r>
        <w:rPr>
          <w:rFonts w:cs="Times New Roman"/>
          <w:b/>
          <w:bCs/>
        </w:rPr>
        <w:t xml:space="preserve"> </w:t>
      </w:r>
      <w:r w:rsidRPr="009D08D6" w:rsidR="00E07CE0">
        <w:rPr>
          <w:rFonts w:cs="Times New Roman"/>
        </w:rPr>
        <w:t>Cost of service.</w:t>
      </w:r>
      <w:r w:rsidRPr="003A1409" w:rsidR="00E07CE0">
        <w:rPr>
          <w:rFonts w:cs="Times New Roman"/>
          <w:b/>
          <w:bCs/>
        </w:rPr>
        <w:t xml:space="preserve"> </w:t>
      </w:r>
    </w:p>
    <w:p w:rsidRPr="00E556F0" w:rsidR="00E7009D" w:rsidP="0013748A" w:rsidRDefault="00E7009D" w14:paraId="525303F8" w14:textId="14263DFF">
      <w:pPr>
        <w:pStyle w:val="ListParagraph"/>
        <w:spacing w:line="240" w:lineRule="auto"/>
        <w:ind w:left="2160"/>
        <w:jc w:val="both"/>
        <w:rPr>
          <w:rFonts w:cs="Times New Roman"/>
        </w:rPr>
      </w:pPr>
      <w:r w:rsidRPr="00E7009D">
        <w:rPr>
          <w:rFonts w:cs="Times New Roman"/>
        </w:rPr>
        <w:t xml:space="preserve"> </w:t>
      </w:r>
      <w:r w:rsidRPr="00E556F0">
        <w:rPr>
          <w:rFonts w:cs="Times New Roman"/>
        </w:rPr>
        <w:t>Each applicant under this article shall provide the following:</w:t>
      </w:r>
    </w:p>
    <w:p w:rsidR="00E07CE0" w:rsidP="0070494E" w:rsidRDefault="00E07CE0" w14:paraId="19710337" w14:textId="1D6F902E">
      <w:pPr>
        <w:pStyle w:val="ListParagraph"/>
        <w:numPr>
          <w:ilvl w:val="1"/>
          <w:numId w:val="13"/>
        </w:numPr>
        <w:spacing w:line="240" w:lineRule="auto"/>
        <w:ind w:left="2880"/>
        <w:jc w:val="both"/>
        <w:rPr>
          <w:rFonts w:cs="Times New Roman"/>
        </w:rPr>
      </w:pPr>
      <w:r w:rsidRPr="003A1409">
        <w:rPr>
          <w:rFonts w:cs="Times New Roman"/>
        </w:rPr>
        <w:t>For Period I and Period II, the applicant under this article shall provide a fully allocated cost of service study</w:t>
      </w:r>
      <w:r w:rsidR="00694FCC">
        <w:rPr>
          <w:rFonts w:cs="Times New Roman"/>
        </w:rPr>
        <w:t>, including total</w:t>
      </w:r>
      <w:r w:rsidR="00823A6E">
        <w:rPr>
          <w:rFonts w:cs="Times New Roman"/>
        </w:rPr>
        <w:t xml:space="preserve"> utility revenues</w:t>
      </w:r>
      <w:r w:rsidR="00973329">
        <w:rPr>
          <w:rFonts w:cs="Times New Roman"/>
        </w:rPr>
        <w:t>,</w:t>
      </w:r>
      <w:r w:rsidR="00823A6E">
        <w:rPr>
          <w:rFonts w:cs="Times New Roman"/>
        </w:rPr>
        <w:t xml:space="preserve"> total utility costs</w:t>
      </w:r>
      <w:r w:rsidR="00973329">
        <w:rPr>
          <w:rFonts w:cs="Times New Roman"/>
        </w:rPr>
        <w:t>, and all customer classes served</w:t>
      </w:r>
      <w:r w:rsidRPr="003A1409">
        <w:rPr>
          <w:rFonts w:cs="Times New Roman"/>
        </w:rPr>
        <w:t>. The study should</w:t>
      </w:r>
      <w:r>
        <w:t xml:space="preserve"> </w:t>
      </w:r>
      <w:r w:rsidRPr="003A1409">
        <w:rPr>
          <w:rFonts w:cs="Times New Roman"/>
        </w:rPr>
        <w:t xml:space="preserve">include a detailed summary of the income statement, rate base and rate of return under present and proposed rates by jurisdiction and by rate schedule. </w:t>
      </w:r>
      <w:r w:rsidRPr="003A1409" w:rsidR="00E37E74">
        <w:rPr>
          <w:rFonts w:cs="Times New Roman"/>
        </w:rPr>
        <w:t>Also p</w:t>
      </w:r>
      <w:r w:rsidRPr="003A1409">
        <w:rPr>
          <w:rFonts w:cs="Times New Roman"/>
        </w:rPr>
        <w:t>rovide work</w:t>
      </w:r>
      <w:r w:rsidRPr="003A1409" w:rsidR="00E37E74">
        <w:rPr>
          <w:rFonts w:cs="Times New Roman"/>
        </w:rPr>
        <w:t xml:space="preserve"> </w:t>
      </w:r>
      <w:r w:rsidRPr="003A1409">
        <w:rPr>
          <w:rFonts w:cs="Times New Roman"/>
        </w:rPr>
        <w:t xml:space="preserve">papers sufficient in detail to support calculations, methodologies, </w:t>
      </w:r>
      <w:r w:rsidR="00251A11">
        <w:rPr>
          <w:rFonts w:cs="Times New Roman"/>
        </w:rPr>
        <w:t>allocation factors</w:t>
      </w:r>
      <w:r w:rsidR="003E4028">
        <w:rPr>
          <w:rFonts w:cs="Times New Roman"/>
        </w:rPr>
        <w:t>,</w:t>
      </w:r>
      <w:r w:rsidR="00251A11">
        <w:rPr>
          <w:rFonts w:cs="Times New Roman"/>
        </w:rPr>
        <w:t xml:space="preserve"> </w:t>
      </w:r>
      <w:r w:rsidRPr="003A1409">
        <w:rPr>
          <w:rFonts w:cs="Times New Roman"/>
        </w:rPr>
        <w:t xml:space="preserve">and assumptions included in the study, including total company wages and salaries by </w:t>
      </w:r>
      <w:r w:rsidR="002F74EA">
        <w:rPr>
          <w:rFonts w:cs="Times New Roman"/>
        </w:rPr>
        <w:t>account</w:t>
      </w:r>
      <w:r w:rsidRPr="003A1409">
        <w:rPr>
          <w:rFonts w:cs="Times New Roman"/>
        </w:rPr>
        <w:t xml:space="preserve"> for actual operations, a summary of pro forma adjustments by </w:t>
      </w:r>
      <w:r w:rsidR="00C24046">
        <w:rPr>
          <w:rFonts w:cs="Times New Roman"/>
        </w:rPr>
        <w:t>account</w:t>
      </w:r>
      <w:r w:rsidRPr="003A1409">
        <w:rPr>
          <w:rFonts w:cs="Times New Roman"/>
        </w:rPr>
        <w:t xml:space="preserve">, including a description and the amount of each adjustment and total company wages and salaries by </w:t>
      </w:r>
      <w:r w:rsidR="002F74EA">
        <w:rPr>
          <w:rFonts w:cs="Times New Roman"/>
        </w:rPr>
        <w:t>account</w:t>
      </w:r>
      <w:r w:rsidRPr="003A1409">
        <w:rPr>
          <w:rFonts w:cs="Times New Roman"/>
        </w:rPr>
        <w:t xml:space="preserve"> for pro forma adjusted operations. If wages and salaries by FERC account is used as an allocator in the utility's cost of service study, then provide this information by FERC account, rather than by function. Also furnish the bases for and computation of all allocators used in the cost-of-service study</w:t>
      </w:r>
      <w:r w:rsidR="0013748A">
        <w:rPr>
          <w:rFonts w:cs="Times New Roman"/>
        </w:rPr>
        <w:t>.</w:t>
      </w:r>
    </w:p>
    <w:p w:rsidRPr="0013748A" w:rsidR="0013748A" w:rsidP="0013748A" w:rsidRDefault="0013748A" w14:paraId="47B51C8D" w14:textId="77777777">
      <w:pPr>
        <w:pStyle w:val="ListParagraph"/>
        <w:spacing w:line="240" w:lineRule="auto"/>
        <w:ind w:left="2880"/>
        <w:jc w:val="both"/>
        <w:rPr>
          <w:rFonts w:cs="Times New Roman"/>
        </w:rPr>
      </w:pPr>
    </w:p>
    <w:p w:rsidRPr="0013748A" w:rsidR="0013748A" w:rsidP="0013748A" w:rsidRDefault="00E07CE0" w14:paraId="0DA740BD" w14:textId="77777777">
      <w:pPr>
        <w:pStyle w:val="ListParagraph"/>
        <w:numPr>
          <w:ilvl w:val="0"/>
          <w:numId w:val="13"/>
        </w:numPr>
        <w:spacing w:line="240" w:lineRule="auto"/>
        <w:ind w:left="2160"/>
        <w:jc w:val="both"/>
        <w:rPr>
          <w:rFonts w:cs="Times New Roman"/>
          <w:b/>
          <w:bCs/>
        </w:rPr>
      </w:pPr>
      <w:r w:rsidRPr="0013748A">
        <w:rPr>
          <w:rFonts w:cs="Times New Roman"/>
        </w:rPr>
        <w:t>Affiliate transactions.</w:t>
      </w:r>
    </w:p>
    <w:p w:rsidRPr="0013748A" w:rsidR="00E07CE0" w:rsidP="0013748A" w:rsidRDefault="00E07CE0" w14:paraId="7FD28E2B" w14:textId="4CA5BF43">
      <w:pPr>
        <w:pStyle w:val="ListParagraph"/>
        <w:spacing w:line="240" w:lineRule="auto"/>
        <w:ind w:left="2160"/>
        <w:jc w:val="both"/>
        <w:rPr>
          <w:rFonts w:cs="Times New Roman"/>
          <w:b/>
          <w:bCs/>
        </w:rPr>
      </w:pPr>
      <w:r w:rsidRPr="0013748A">
        <w:rPr>
          <w:rFonts w:cs="Times New Roman"/>
        </w:rPr>
        <w:t>The following procedures</w:t>
      </w:r>
      <w:r w:rsidRPr="0013748A" w:rsidR="0041443C">
        <w:rPr>
          <w:rFonts w:cs="Times New Roman"/>
        </w:rPr>
        <w:t xml:space="preserve"> </w:t>
      </w:r>
      <w:r w:rsidRPr="0013748A">
        <w:rPr>
          <w:rFonts w:cs="Times New Roman"/>
        </w:rPr>
        <w:t>shall govern any transactions by, between, and among a utility and any of its affiliates</w:t>
      </w:r>
      <w:r w:rsidRPr="0013748A">
        <w:rPr>
          <w:rFonts w:cs="Times New Roman"/>
          <w:b/>
          <w:bCs/>
        </w:rPr>
        <w:t>:</w:t>
      </w:r>
    </w:p>
    <w:p w:rsidRPr="003A1409" w:rsidR="00E07CE0" w:rsidP="0070494E" w:rsidRDefault="00E07CE0" w14:paraId="4BA4FC22" w14:textId="0CAA2AB9">
      <w:pPr>
        <w:pStyle w:val="ListParagraph"/>
        <w:numPr>
          <w:ilvl w:val="0"/>
          <w:numId w:val="168"/>
        </w:numPr>
        <w:spacing w:line="240" w:lineRule="auto"/>
        <w:ind w:left="2880"/>
        <w:jc w:val="both"/>
        <w:rPr>
          <w:rFonts w:cs="Times New Roman"/>
        </w:rPr>
      </w:pPr>
      <w:r w:rsidRPr="003A1409">
        <w:rPr>
          <w:rFonts w:cs="Times New Roman"/>
        </w:rPr>
        <w:t>In any application that the utility files that m</w:t>
      </w:r>
      <w:r w:rsidRPr="003A1409" w:rsidR="00E37E74">
        <w:rPr>
          <w:rFonts w:cs="Times New Roman"/>
        </w:rPr>
        <w:t>ight</w:t>
      </w:r>
      <w:r w:rsidRPr="003A1409">
        <w:rPr>
          <w:rFonts w:cs="Times New Roman"/>
        </w:rPr>
        <w:t xml:space="preserve"> </w:t>
      </w:r>
      <w:r w:rsidR="0041443C">
        <w:rPr>
          <w:rFonts w:cs="Times New Roman"/>
        </w:rPr>
        <w:t>a</w:t>
      </w:r>
      <w:r w:rsidRPr="003A1409">
        <w:rPr>
          <w:rFonts w:cs="Times New Roman"/>
        </w:rPr>
        <w:t xml:space="preserve">ffect a change in its revenue requirement and that contains an allocation of affiliate costs from an affiliated company of the utility, the utility shall provide: </w:t>
      </w:r>
    </w:p>
    <w:p w:rsidRPr="003A1409" w:rsidR="00E07CE0" w:rsidP="0013748A" w:rsidRDefault="00E07CE0" w14:paraId="13698F94" w14:textId="7735B7F9">
      <w:pPr>
        <w:pStyle w:val="ListParagraph"/>
        <w:numPr>
          <w:ilvl w:val="2"/>
          <w:numId w:val="13"/>
        </w:numPr>
        <w:spacing w:line="240" w:lineRule="auto"/>
        <w:ind w:left="3614" w:hanging="187"/>
        <w:jc w:val="both"/>
        <w:rPr>
          <w:rFonts w:cs="Times New Roman"/>
        </w:rPr>
      </w:pPr>
      <w:r w:rsidRPr="003A1409">
        <w:rPr>
          <w:rFonts w:cs="Times New Roman"/>
        </w:rPr>
        <w:t xml:space="preserve">Schedule detailing the summary of affiliate costs incurred for each account for those services rendered by the </w:t>
      </w:r>
      <w:r w:rsidRPr="003A1409">
        <w:rPr>
          <w:rFonts w:cs="Times New Roman"/>
        </w:rPr>
        <w:lastRenderedPageBreak/>
        <w:t xml:space="preserve">affiliate(s) exclusive of affiliate purchases, related to joint account purchases and purchases from purchased power agreements </w:t>
      </w:r>
      <w:r w:rsidRPr="003A1409" w:rsidR="0090568B">
        <w:rPr>
          <w:rFonts w:cs="Times New Roman"/>
        </w:rPr>
        <w:t xml:space="preserve">and </w:t>
      </w:r>
      <w:r w:rsidRPr="003A1409">
        <w:rPr>
          <w:rFonts w:cs="Times New Roman"/>
        </w:rPr>
        <w:t>continue to be provid</w:t>
      </w:r>
      <w:r w:rsidR="0041443C">
        <w:rPr>
          <w:rFonts w:cs="Times New Roman"/>
        </w:rPr>
        <w:t>e</w:t>
      </w:r>
      <w:r w:rsidRPr="003A1409">
        <w:rPr>
          <w:rFonts w:cs="Times New Roman"/>
        </w:rPr>
        <w:t xml:space="preserve"> </w:t>
      </w:r>
      <w:r w:rsidRPr="003A1409" w:rsidR="0090568B">
        <w:rPr>
          <w:rFonts w:cs="Times New Roman"/>
        </w:rPr>
        <w:t xml:space="preserve">such detail </w:t>
      </w:r>
      <w:r w:rsidRPr="003A1409">
        <w:rPr>
          <w:rFonts w:cs="Times New Roman"/>
        </w:rPr>
        <w:t xml:space="preserve">in the applicable fuel adjustment clause; </w:t>
      </w:r>
    </w:p>
    <w:p w:rsidRPr="003A1409" w:rsidR="00E07CE0" w:rsidP="0013748A" w:rsidRDefault="00E07CE0" w14:paraId="53B5D178" w14:textId="77777777">
      <w:pPr>
        <w:pStyle w:val="ListParagraph"/>
        <w:numPr>
          <w:ilvl w:val="2"/>
          <w:numId w:val="13"/>
        </w:numPr>
        <w:spacing w:line="240" w:lineRule="auto"/>
        <w:ind w:left="3600"/>
        <w:jc w:val="both"/>
        <w:rPr>
          <w:rFonts w:cs="Times New Roman"/>
        </w:rPr>
      </w:pPr>
      <w:r w:rsidRPr="003A1409">
        <w:rPr>
          <w:rFonts w:cs="Times New Roman"/>
        </w:rPr>
        <w:t xml:space="preserve">The allocation method and basis of such costs; and </w:t>
      </w:r>
    </w:p>
    <w:p w:rsidRPr="003A1409" w:rsidR="00E07CE0" w:rsidP="0013748A" w:rsidRDefault="00E07CE0" w14:paraId="0131C4FC" w14:textId="77777777">
      <w:pPr>
        <w:pStyle w:val="ListParagraph"/>
        <w:numPr>
          <w:ilvl w:val="2"/>
          <w:numId w:val="13"/>
        </w:numPr>
        <w:spacing w:line="240" w:lineRule="auto"/>
        <w:ind w:left="3600"/>
        <w:jc w:val="both"/>
        <w:rPr>
          <w:rFonts w:cs="Times New Roman"/>
        </w:rPr>
      </w:pPr>
      <w:r w:rsidRPr="003A1409">
        <w:rPr>
          <w:rFonts w:cs="Times New Roman"/>
        </w:rPr>
        <w:t xml:space="preserve">A summary of the services provided for such costs. </w:t>
      </w:r>
    </w:p>
    <w:p w:rsidRPr="003A1409" w:rsidR="00E07CE0" w:rsidP="0013748A" w:rsidRDefault="00E07CE0" w14:paraId="6D5EA999" w14:textId="25518EE3">
      <w:pPr>
        <w:pStyle w:val="ListParagraph"/>
        <w:numPr>
          <w:ilvl w:val="0"/>
          <w:numId w:val="168"/>
        </w:numPr>
        <w:spacing w:line="240" w:lineRule="auto"/>
        <w:jc w:val="both"/>
        <w:rPr>
          <w:rFonts w:cs="Times New Roman"/>
        </w:rPr>
      </w:pPr>
      <w:r w:rsidRPr="003A1409">
        <w:rPr>
          <w:rFonts w:cs="Times New Roman"/>
        </w:rPr>
        <w:t xml:space="preserve">Except for years that represent test years, as Period I and Period II, </w:t>
      </w:r>
      <w:r w:rsidRPr="003A1409" w:rsidR="0090568B">
        <w:rPr>
          <w:rFonts w:cs="Times New Roman"/>
        </w:rPr>
        <w:t>which</w:t>
      </w:r>
      <w:r w:rsidRPr="003A1409">
        <w:rPr>
          <w:rFonts w:cs="Times New Roman"/>
        </w:rPr>
        <w:t xml:space="preserve"> are included in an application for a change in rates of the utility, a utility must annually file a cost allocation manual that includes: </w:t>
      </w:r>
    </w:p>
    <w:p w:rsidRPr="003A1409" w:rsidR="00E07CE0" w:rsidP="0013748A" w:rsidRDefault="00E07CE0" w14:paraId="639D394F" w14:textId="34A48016">
      <w:pPr>
        <w:pStyle w:val="ListParagraph"/>
        <w:numPr>
          <w:ilvl w:val="0"/>
          <w:numId w:val="169"/>
        </w:numPr>
        <w:spacing w:line="240" w:lineRule="auto"/>
        <w:jc w:val="both"/>
        <w:rPr>
          <w:rFonts w:cs="Times New Roman"/>
        </w:rPr>
      </w:pPr>
      <w:r w:rsidRPr="003A1409">
        <w:rPr>
          <w:rFonts w:cs="Times New Roman"/>
        </w:rPr>
        <w:t xml:space="preserve">An organization </w:t>
      </w:r>
      <w:r w:rsidR="00E7009D">
        <w:rPr>
          <w:rFonts w:cs="Times New Roman"/>
        </w:rPr>
        <w:t xml:space="preserve">or relationship </w:t>
      </w:r>
      <w:r w:rsidRPr="003A1409">
        <w:rPr>
          <w:rFonts w:cs="Times New Roman"/>
        </w:rPr>
        <w:t>chart</w:t>
      </w:r>
      <w:r w:rsidR="00E7009D">
        <w:rPr>
          <w:rFonts w:cs="Times New Roman"/>
        </w:rPr>
        <w:t>(s)</w:t>
      </w:r>
      <w:r w:rsidRPr="003A1409">
        <w:rPr>
          <w:rFonts w:cs="Times New Roman"/>
        </w:rPr>
        <w:t xml:space="preserve"> that illustrates the utility and all of its regulated and unregulated affiliate(s); </w:t>
      </w:r>
    </w:p>
    <w:p w:rsidRPr="003A1409" w:rsidR="00E07CE0" w:rsidP="0013748A" w:rsidRDefault="00E07CE0" w14:paraId="21AC7247" w14:textId="77777777">
      <w:pPr>
        <w:pStyle w:val="ListParagraph"/>
        <w:numPr>
          <w:ilvl w:val="0"/>
          <w:numId w:val="169"/>
        </w:numPr>
        <w:spacing w:line="240" w:lineRule="auto"/>
        <w:jc w:val="both"/>
        <w:rPr>
          <w:rFonts w:cs="Times New Roman"/>
        </w:rPr>
      </w:pPr>
      <w:r w:rsidRPr="003A1409">
        <w:rPr>
          <w:rFonts w:cs="Times New Roman"/>
        </w:rPr>
        <w:t xml:space="preserve">Officers of the parent or holding company, the utility, and all of its affiliates, as applicable; </w:t>
      </w:r>
    </w:p>
    <w:p w:rsidRPr="003A1409" w:rsidR="00E07CE0" w:rsidP="0013748A" w:rsidRDefault="00E07CE0" w14:paraId="6FA8DAD1" w14:textId="77777777">
      <w:pPr>
        <w:pStyle w:val="ListParagraph"/>
        <w:numPr>
          <w:ilvl w:val="0"/>
          <w:numId w:val="169"/>
        </w:numPr>
        <w:spacing w:line="240" w:lineRule="auto"/>
        <w:jc w:val="both"/>
        <w:rPr>
          <w:rFonts w:cs="Times New Roman"/>
        </w:rPr>
      </w:pPr>
      <w:r w:rsidRPr="003A1409">
        <w:rPr>
          <w:rFonts w:cs="Times New Roman"/>
        </w:rPr>
        <w:t xml:space="preserve">A complete description of the types of all costs shared with affiliate(s); </w:t>
      </w:r>
    </w:p>
    <w:p w:rsidRPr="00B107F8" w:rsidR="001D0849" w:rsidP="00B107F8" w:rsidRDefault="00E07CE0" w14:paraId="6B546141" w14:textId="17F25C09">
      <w:pPr>
        <w:pStyle w:val="ListParagraph"/>
        <w:numPr>
          <w:ilvl w:val="0"/>
          <w:numId w:val="169"/>
        </w:numPr>
        <w:spacing w:line="240" w:lineRule="auto"/>
        <w:jc w:val="both"/>
        <w:rPr>
          <w:rFonts w:cs="Times New Roman"/>
        </w:rPr>
      </w:pPr>
      <w:r w:rsidRPr="003A1409">
        <w:rPr>
          <w:rFonts w:cs="Times New Roman"/>
        </w:rPr>
        <w:t xml:space="preserve">The methodology and procedure used to allocate costs; and </w:t>
      </w:r>
      <w:r w:rsidR="00B107F8">
        <w:rPr>
          <w:rFonts w:cs="Times New Roman"/>
        </w:rPr>
        <w:t>a</w:t>
      </w:r>
      <w:r w:rsidRPr="00B107F8">
        <w:rPr>
          <w:rFonts w:cs="Times New Roman"/>
        </w:rPr>
        <w:t xml:space="preserve"> summary of the total costs incurred from affiliate(s) and how those affiliate(s) costs are allocated. </w:t>
      </w:r>
      <w:r w:rsidRPr="00B107F8" w:rsidR="00B7051D">
        <w:rPr>
          <w:rFonts w:cs="Times New Roman"/>
        </w:rPr>
        <w:t xml:space="preserve">The council shall have reasonable access to all </w:t>
      </w:r>
      <w:r w:rsidRPr="00B107F8" w:rsidR="0041443C">
        <w:rPr>
          <w:rFonts w:cs="Times New Roman"/>
        </w:rPr>
        <w:t>public</w:t>
      </w:r>
      <w:r w:rsidRPr="00B107F8" w:rsidR="00B7051D">
        <w:rPr>
          <w:rFonts w:cs="Times New Roman"/>
        </w:rPr>
        <w:t xml:space="preserve"> records of the utility's affiliated companies, including its parent company, regarding transactions or cost allocations among the utility and such affiliated companies, and such records necessary as same pertains to the inclusion of costs in the utility's revenue requirements and to ensure that a utility's ratepayers do not subsidize nonutility activities. Nothing in this paragraph shall limit the authority of the council to have access to accounts and records of, or to require reports </w:t>
      </w:r>
      <w:r w:rsidRPr="00B107F8" w:rsidR="00E7009D">
        <w:rPr>
          <w:rFonts w:cs="Times New Roman"/>
        </w:rPr>
        <w:t xml:space="preserve">and documents </w:t>
      </w:r>
      <w:r w:rsidRPr="00B107F8" w:rsidR="00B7051D">
        <w:rPr>
          <w:rFonts w:cs="Times New Roman"/>
        </w:rPr>
        <w:t>from, the utility</w:t>
      </w:r>
      <w:r w:rsidRPr="00B107F8" w:rsidR="00E7009D">
        <w:rPr>
          <w:rFonts w:cs="Times New Roman"/>
        </w:rPr>
        <w:t>,</w:t>
      </w:r>
      <w:r w:rsidRPr="00B107F8" w:rsidR="00B7051D">
        <w:rPr>
          <w:rFonts w:cs="Times New Roman"/>
        </w:rPr>
        <w:t xml:space="preserve"> or to prescribe guidelines </w:t>
      </w:r>
      <w:r w:rsidRPr="00B107F8" w:rsidR="0090568B">
        <w:rPr>
          <w:rFonts w:cs="Times New Roman"/>
        </w:rPr>
        <w:t>that</w:t>
      </w:r>
      <w:r w:rsidRPr="00B107F8" w:rsidR="00B7051D">
        <w:rPr>
          <w:rFonts w:cs="Times New Roman"/>
        </w:rPr>
        <w:t xml:space="preserve"> the utility must follow in allocating costs to transactions with affiliate(s).</w:t>
      </w:r>
      <w:r w:rsidRPr="00B107F8" w:rsidR="0090568B">
        <w:rPr>
          <w:rFonts w:cs="Times New Roman"/>
        </w:rPr>
        <w:t xml:space="preserve"> </w:t>
      </w:r>
    </w:p>
    <w:p w:rsidR="00126B5A" w:rsidP="00126B5A" w:rsidRDefault="00126B5A" w14:paraId="39413566" w14:textId="77777777">
      <w:bookmarkStart w:name="_Toc205560108" w:id="18"/>
    </w:p>
    <w:p w:rsidR="00126B5A" w:rsidP="00126B5A" w:rsidRDefault="00126B5A" w14:paraId="0D858E07" w14:textId="77777777"/>
    <w:p w:rsidR="00126B5A" w:rsidP="00126B5A" w:rsidRDefault="00126B5A" w14:paraId="0103DDE4" w14:textId="77777777"/>
    <w:p w:rsidR="00126B5A" w:rsidP="00126B5A" w:rsidRDefault="00126B5A" w14:paraId="1E6DF60B" w14:textId="77777777"/>
    <w:p w:rsidR="00126B5A" w:rsidP="00126B5A" w:rsidRDefault="00126B5A" w14:paraId="11315513" w14:textId="77777777"/>
    <w:p w:rsidR="00126B5A" w:rsidP="00126B5A" w:rsidRDefault="00126B5A" w14:paraId="42FBFA9F" w14:textId="77777777"/>
    <w:p w:rsidR="00B107F8" w:rsidP="00126B5A" w:rsidRDefault="00B107F8" w14:paraId="63FA434B" w14:textId="77777777"/>
    <w:p w:rsidR="00126B5A" w:rsidP="00126B5A" w:rsidRDefault="00126B5A" w14:paraId="1B2FEF6E" w14:textId="77777777"/>
    <w:p w:rsidR="00865F09" w:rsidP="00126B5A" w:rsidRDefault="00865F09" w14:paraId="1B7B42F1" w14:textId="77777777"/>
    <w:p w:rsidRPr="00126B5A" w:rsidR="00180ADD" w:rsidP="00126B5A" w:rsidRDefault="00ED1D2D" w14:paraId="73B166D2" w14:textId="0E74355D">
      <w:pPr>
        <w:rPr>
          <w:b/>
          <w:bCs/>
          <w:highlight w:val="yellow"/>
        </w:rPr>
      </w:pPr>
      <w:r w:rsidRPr="00126B5A">
        <w:rPr>
          <w:b/>
          <w:bCs/>
        </w:rPr>
        <w:lastRenderedPageBreak/>
        <w:t xml:space="preserve">URM Division </w:t>
      </w:r>
      <w:r w:rsidRPr="00126B5A" w:rsidR="00CA440C">
        <w:rPr>
          <w:b/>
          <w:bCs/>
        </w:rPr>
        <w:t>V</w:t>
      </w:r>
      <w:r w:rsidRPr="00126B5A" w:rsidR="00C01088">
        <w:rPr>
          <w:b/>
          <w:bCs/>
        </w:rPr>
        <w:t>.</w:t>
      </w:r>
      <w:r w:rsidRPr="00126B5A" w:rsidR="006B1CF2">
        <w:rPr>
          <w:b/>
          <w:bCs/>
        </w:rPr>
        <w:t xml:space="preserve">  </w:t>
      </w:r>
      <w:r w:rsidRPr="00126B5A" w:rsidR="00F443C7">
        <w:rPr>
          <w:b/>
          <w:bCs/>
        </w:rPr>
        <w:t>Electric utility i</w:t>
      </w:r>
      <w:r w:rsidRPr="00126B5A" w:rsidR="009B3EEB">
        <w:rPr>
          <w:b/>
          <w:bCs/>
        </w:rPr>
        <w:t xml:space="preserve">ntegrated </w:t>
      </w:r>
      <w:r w:rsidRPr="00126B5A" w:rsidR="00F443C7">
        <w:rPr>
          <w:b/>
          <w:bCs/>
        </w:rPr>
        <w:t>r</w:t>
      </w:r>
      <w:r w:rsidRPr="00126B5A" w:rsidR="009B3EEB">
        <w:rPr>
          <w:b/>
          <w:bCs/>
        </w:rPr>
        <w:t xml:space="preserve">esource </w:t>
      </w:r>
      <w:r w:rsidRPr="00126B5A" w:rsidR="00F443C7">
        <w:rPr>
          <w:b/>
          <w:bCs/>
        </w:rPr>
        <w:t>p</w:t>
      </w:r>
      <w:r w:rsidRPr="00126B5A" w:rsidR="009B3EEB">
        <w:rPr>
          <w:b/>
          <w:bCs/>
        </w:rPr>
        <w:t xml:space="preserve">lan </w:t>
      </w:r>
      <w:r w:rsidRPr="00126B5A" w:rsidR="00F443C7">
        <w:rPr>
          <w:b/>
          <w:bCs/>
        </w:rPr>
        <w:t>r</w:t>
      </w:r>
      <w:r w:rsidRPr="00126B5A" w:rsidR="00F93A68">
        <w:rPr>
          <w:b/>
          <w:bCs/>
        </w:rPr>
        <w:t>ules</w:t>
      </w:r>
      <w:r w:rsidRPr="00126B5A" w:rsidR="009B3EEB">
        <w:rPr>
          <w:b/>
          <w:bCs/>
        </w:rPr>
        <w:t xml:space="preserve">. </w:t>
      </w:r>
      <w:bookmarkEnd w:id="18"/>
    </w:p>
    <w:p w:rsidRPr="00B107F8" w:rsidR="009B0F11" w:rsidP="00B107F8" w:rsidRDefault="00F65478" w14:paraId="113A97F7" w14:textId="65BC7BBC">
      <w:pPr>
        <w:jc w:val="both"/>
        <w:rPr>
          <w:rFonts w:cs="Times New Roman"/>
        </w:rPr>
      </w:pPr>
      <w:r w:rsidRPr="00B107F8">
        <w:rPr>
          <w:rFonts w:cs="Times New Roman"/>
        </w:rPr>
        <w:t xml:space="preserve">[EXISITNG IRP RULES </w:t>
      </w:r>
      <w:r w:rsidRPr="00B107F8" w:rsidR="00B20FCA">
        <w:rPr>
          <w:rFonts w:cs="Times New Roman"/>
        </w:rPr>
        <w:t xml:space="preserve">AS ADOPTED IN RESOLUTION </w:t>
      </w:r>
      <w:r w:rsidRPr="00B107F8" w:rsidR="00D46A4F">
        <w:rPr>
          <w:rFonts w:cs="Times New Roman"/>
        </w:rPr>
        <w:t xml:space="preserve">NO. </w:t>
      </w:r>
      <w:r w:rsidRPr="00B107F8" w:rsidR="00B20FCA">
        <w:rPr>
          <w:rFonts w:cs="Times New Roman"/>
        </w:rPr>
        <w:t>R-17-429</w:t>
      </w:r>
      <w:r w:rsidRPr="00B107F8">
        <w:rPr>
          <w:rFonts w:cs="Times New Roman"/>
        </w:rPr>
        <w:t xml:space="preserve"> WILL BE INSERTED HERE</w:t>
      </w:r>
      <w:r w:rsidRPr="00B107F8" w:rsidR="00126B5A">
        <w:rPr>
          <w:rFonts w:cs="Times New Roman"/>
        </w:rPr>
        <w:t>]</w:t>
      </w:r>
    </w:p>
    <w:p w:rsidRPr="002611D7" w:rsidR="00B20FCA" w:rsidP="009D08D6" w:rsidRDefault="00B20FCA" w14:paraId="0D62D762" w14:textId="77777777">
      <w:pPr>
        <w:pStyle w:val="ListParagraph"/>
        <w:ind w:left="630"/>
        <w:jc w:val="both"/>
        <w:rPr>
          <w:rFonts w:cs="Times New Roman"/>
          <w:b/>
          <w:bCs/>
        </w:rPr>
      </w:pPr>
    </w:p>
    <w:p w:rsidRPr="001E44B1" w:rsidR="00F65478" w:rsidP="00F65478" w:rsidRDefault="00F65478" w14:paraId="4DDEFFB7" w14:textId="4120043C">
      <w:pPr>
        <w:spacing w:after="240"/>
        <w:ind w:left="720" w:hanging="360"/>
        <w:jc w:val="both"/>
        <w:rPr>
          <w:rFonts w:eastAsia="PMingLiU" w:cs="Times New Roman"/>
          <w:kern w:val="0"/>
          <w:szCs w:val="22"/>
          <w14:ligatures w14:val="none"/>
        </w:rPr>
      </w:pPr>
    </w:p>
    <w:p w:rsidR="000379DD" w:rsidRDefault="000379DD" w14:paraId="5FC6FA31" w14:textId="77777777">
      <w:pPr>
        <w:spacing w:after="240"/>
        <w:ind w:left="360" w:hanging="360"/>
        <w:jc w:val="both"/>
        <w:rPr>
          <w:rFonts w:eastAsia="PMingLiU" w:cs="Times New Roman"/>
          <w:kern w:val="0"/>
          <w:szCs w:val="22"/>
          <w14:ligatures w14:val="none"/>
        </w:rPr>
        <w:sectPr w:rsidR="000379DD" w:rsidSect="008C205C">
          <w:pgSz w:w="12240" w:h="15840"/>
          <w:pgMar w:top="1440" w:right="1440" w:bottom="1440" w:left="1440" w:header="720" w:footer="720" w:gutter="0"/>
          <w:pgBorders w:offsetFrom="page">
            <w:left w:val="single" w:color="auto" w:sz="4" w:space="24"/>
          </w:pgBorders>
          <w:cols w:space="720"/>
          <w:docGrid w:linePitch="360"/>
        </w:sectPr>
      </w:pPr>
    </w:p>
    <w:p w:rsidRPr="004E3B85" w:rsidR="005265E7" w:rsidP="009D08D6" w:rsidRDefault="00ED1D2D" w14:paraId="7E81AD55" w14:textId="42324752">
      <w:pPr>
        <w:pStyle w:val="Heading1"/>
      </w:pPr>
      <w:bookmarkStart w:name="_Toc205560109" w:id="19"/>
      <w:r w:rsidRPr="00ED1D2D">
        <w:lastRenderedPageBreak/>
        <w:t xml:space="preserve">URM Division </w:t>
      </w:r>
      <w:r w:rsidRPr="00ED1D2D" w:rsidR="00857862">
        <w:t>V</w:t>
      </w:r>
      <w:r w:rsidR="000379DD">
        <w:t>I</w:t>
      </w:r>
      <w:r w:rsidRPr="00ED1D2D" w:rsidR="00857862">
        <w:t>.</w:t>
      </w:r>
      <w:r w:rsidR="006B1CF2">
        <w:t xml:space="preserve">  </w:t>
      </w:r>
      <w:r w:rsidRPr="004E3B85" w:rsidR="004746FC">
        <w:t xml:space="preserve">Renewable </w:t>
      </w:r>
      <w:r w:rsidR="00B36D7F">
        <w:t>c</w:t>
      </w:r>
      <w:r w:rsidRPr="004E3B85" w:rsidR="004746FC">
        <w:t xml:space="preserve">lean </w:t>
      </w:r>
      <w:r w:rsidR="00B36D7F">
        <w:t>p</w:t>
      </w:r>
      <w:r w:rsidRPr="004E3B85" w:rsidR="004746FC">
        <w:t xml:space="preserve">ortfolio </w:t>
      </w:r>
      <w:r w:rsidR="00B36D7F">
        <w:t>s</w:t>
      </w:r>
      <w:r w:rsidRPr="004E3B85" w:rsidR="004746FC">
        <w:t>tandard</w:t>
      </w:r>
      <w:r w:rsidRPr="004E3B85" w:rsidR="0063655D">
        <w:t xml:space="preserve"> </w:t>
      </w:r>
      <w:r w:rsidR="00F443C7">
        <w:t>r</w:t>
      </w:r>
      <w:r w:rsidRPr="004E3B85" w:rsidR="0063655D">
        <w:t>ules</w:t>
      </w:r>
      <w:r w:rsidR="007E12A1">
        <w:t>.</w:t>
      </w:r>
      <w:bookmarkEnd w:id="19"/>
    </w:p>
    <w:p w:rsidR="00F74867" w:rsidP="007E12A1" w:rsidRDefault="00F65478" w14:paraId="1371D9FA" w14:textId="2E221572">
      <w:pPr>
        <w:spacing w:after="120"/>
        <w:jc w:val="both"/>
        <w:rPr>
          <w:rFonts w:eastAsia="DengXian" w:cs="Times New Roman"/>
        </w:rPr>
        <w:sectPr w:rsidR="00F74867" w:rsidSect="008C205C">
          <w:pgSz w:w="12240" w:h="15840"/>
          <w:pgMar w:top="1440" w:right="1440" w:bottom="1440" w:left="1440" w:header="720" w:footer="720" w:gutter="0"/>
          <w:pgBorders w:offsetFrom="page">
            <w:left w:val="single" w:color="auto" w:sz="4" w:space="24"/>
          </w:pgBorders>
          <w:cols w:space="720"/>
          <w:docGrid w:linePitch="360"/>
        </w:sectPr>
      </w:pPr>
      <w:r>
        <w:rPr>
          <w:rFonts w:eastAsia="DengXian" w:cs="Times New Roman"/>
        </w:rPr>
        <w:t xml:space="preserve">[EXISTING RCPS RULES </w:t>
      </w:r>
      <w:r w:rsidRPr="009D08D6" w:rsidR="00CA4E11">
        <w:rPr>
          <w:rFonts w:eastAsia="DengXian" w:cs="Times New Roman"/>
        </w:rPr>
        <w:t>AS</w:t>
      </w:r>
      <w:r w:rsidR="00CA4E11">
        <w:rPr>
          <w:rFonts w:eastAsia="DengXian" w:cs="Times New Roman"/>
        </w:rPr>
        <w:t xml:space="preserve"> </w:t>
      </w:r>
      <w:r w:rsidRPr="009D08D6" w:rsidR="00CA4E11">
        <w:rPr>
          <w:rFonts w:eastAsia="DengXian" w:cs="Times New Roman"/>
        </w:rPr>
        <w:t>ADOPTED IN RESOLUTION NO. R-21-182</w:t>
      </w:r>
      <w:r>
        <w:rPr>
          <w:rFonts w:eastAsia="DengXian" w:cs="Times New Roman"/>
        </w:rPr>
        <w:t xml:space="preserve"> WILL BE INSERTED HERE]</w:t>
      </w:r>
    </w:p>
    <w:p w:rsidR="00F74867" w:rsidP="00F74867" w:rsidRDefault="00F74867" w14:paraId="25AD63A5" w14:textId="09C66CCC">
      <w:pPr>
        <w:pStyle w:val="Heading1"/>
      </w:pPr>
      <w:bookmarkStart w:name="_Toc205560110" w:id="20"/>
      <w:r w:rsidRPr="00C63FE1">
        <w:lastRenderedPageBreak/>
        <w:t>URM Division V</w:t>
      </w:r>
      <w:r w:rsidR="000379DD">
        <w:t>I</w:t>
      </w:r>
      <w:r w:rsidRPr="00C63FE1">
        <w:t xml:space="preserve">I. </w:t>
      </w:r>
      <w:r w:rsidR="006B1CF2">
        <w:t xml:space="preserve"> </w:t>
      </w:r>
      <w:r>
        <w:t xml:space="preserve">Net </w:t>
      </w:r>
      <w:r w:rsidR="00105E63">
        <w:t>e</w:t>
      </w:r>
      <w:r>
        <w:t xml:space="preserve">nergy </w:t>
      </w:r>
      <w:r w:rsidR="00105E63">
        <w:t>m</w:t>
      </w:r>
      <w:r>
        <w:t xml:space="preserve">etering </w:t>
      </w:r>
      <w:r w:rsidR="00105E63">
        <w:t>r</w:t>
      </w:r>
      <w:r>
        <w:t>ules</w:t>
      </w:r>
      <w:r w:rsidRPr="00C8003C">
        <w:t>.</w:t>
      </w:r>
      <w:bookmarkEnd w:id="20"/>
    </w:p>
    <w:p w:rsidRPr="00B107F8" w:rsidR="00EA29D2" w:rsidP="00B107F8" w:rsidRDefault="00F65478" w14:paraId="7CBED47A" w14:textId="0AB9CAFF">
      <w:pPr>
        <w:sectPr w:rsidRPr="00B107F8" w:rsidR="00EA29D2" w:rsidSect="008C205C">
          <w:pgSz w:w="12240" w:h="15840"/>
          <w:pgMar w:top="1440" w:right="1440" w:bottom="1440" w:left="1440" w:header="720" w:footer="720" w:gutter="0"/>
          <w:pgBorders w:offsetFrom="page">
            <w:left w:val="single" w:color="auto" w:sz="4" w:space="24"/>
          </w:pgBorders>
          <w:cols w:space="720"/>
          <w:docGrid w:linePitch="360"/>
        </w:sectPr>
      </w:pPr>
      <w:r>
        <w:t xml:space="preserve">[EXISITNG NET METERING RULES </w:t>
      </w:r>
      <w:r w:rsidR="00F74867">
        <w:t>AS ADOPTED IN RESOLUTION NO. R-09-484</w:t>
      </w:r>
      <w:r>
        <w:t xml:space="preserve"> WILL BE INSERTED HERE]</w:t>
      </w:r>
    </w:p>
    <w:p w:rsidRPr="00C63FE1" w:rsidR="000F6AE7" w:rsidP="009D08D6" w:rsidRDefault="00C63FE1" w14:paraId="4D741FED" w14:textId="677B3C6A">
      <w:pPr>
        <w:pStyle w:val="Heading1"/>
      </w:pPr>
      <w:bookmarkStart w:name="_Toc205560111" w:id="21"/>
      <w:bookmarkStart w:name="_Hlk205396093" w:id="22"/>
      <w:r w:rsidRPr="00C63FE1">
        <w:lastRenderedPageBreak/>
        <w:t xml:space="preserve">URM Division </w:t>
      </w:r>
      <w:r w:rsidR="0032023B">
        <w:t>VI</w:t>
      </w:r>
      <w:r w:rsidR="00C6306C">
        <w:t>I</w:t>
      </w:r>
      <w:r w:rsidR="0032023B">
        <w:t>I</w:t>
      </w:r>
      <w:r w:rsidRPr="00C63FE1" w:rsidR="003A2C0C">
        <w:t xml:space="preserve">. </w:t>
      </w:r>
      <w:r w:rsidR="006B1CF2">
        <w:t xml:space="preserve"> </w:t>
      </w:r>
      <w:r w:rsidRPr="00C63FE1" w:rsidR="003A2C0C">
        <w:t xml:space="preserve">Community </w:t>
      </w:r>
      <w:r w:rsidR="00105E63">
        <w:t>s</w:t>
      </w:r>
      <w:r w:rsidRPr="00C63FE1" w:rsidR="003A2C0C">
        <w:t xml:space="preserve">olar </w:t>
      </w:r>
      <w:r w:rsidR="00105E63">
        <w:t>r</w:t>
      </w:r>
      <w:r w:rsidRPr="00C63FE1" w:rsidR="003A2C0C">
        <w:t>ules</w:t>
      </w:r>
      <w:r w:rsidRPr="00C63FE1" w:rsidR="004F51D0">
        <w:t>.</w:t>
      </w:r>
      <w:bookmarkEnd w:id="21"/>
    </w:p>
    <w:bookmarkEnd w:id="22"/>
    <w:p w:rsidR="00ED0397" w:rsidP="00E0662A" w:rsidRDefault="00F65478" w14:paraId="301E9A35" w14:textId="4DDBCABD">
      <w:pPr>
        <w:jc w:val="both"/>
        <w:rPr>
          <w:rFonts w:cs="Times New Roman"/>
        </w:rPr>
      </w:pPr>
      <w:r>
        <w:rPr>
          <w:rFonts w:cs="Times New Roman"/>
        </w:rPr>
        <w:t xml:space="preserve">[EXISTING COMMUNITY SOLAR RULES </w:t>
      </w:r>
      <w:r w:rsidR="00BD5A7F">
        <w:rPr>
          <w:rFonts w:cs="Times New Roman"/>
        </w:rPr>
        <w:t xml:space="preserve">AS ADOPTED IN RESOLUTION </w:t>
      </w:r>
      <w:r w:rsidR="00D46A4F">
        <w:rPr>
          <w:rFonts w:cs="Times New Roman"/>
        </w:rPr>
        <w:t xml:space="preserve">NO. </w:t>
      </w:r>
      <w:r w:rsidR="00BD5A7F">
        <w:rPr>
          <w:rFonts w:cs="Times New Roman"/>
        </w:rPr>
        <w:t>R-25-352</w:t>
      </w:r>
      <w:r>
        <w:rPr>
          <w:rFonts w:cs="Times New Roman"/>
        </w:rPr>
        <w:t xml:space="preserve"> WILL BE INSERTED HERE]</w:t>
      </w:r>
    </w:p>
    <w:p w:rsidRPr="00BD5A7F" w:rsidR="00BD5A7F" w:rsidP="009D08D6" w:rsidRDefault="00BD5A7F" w14:paraId="02F8F34F" w14:textId="77777777">
      <w:pPr>
        <w:spacing w:after="0" w:line="240" w:lineRule="auto"/>
        <w:jc w:val="both"/>
        <w:rPr>
          <w:rFonts w:cs="Times New Roman"/>
        </w:rPr>
      </w:pPr>
    </w:p>
    <w:p w:rsidRPr="00B632FD" w:rsidR="00BD5A7F" w:rsidP="00E0662A" w:rsidRDefault="00BD5A7F" w14:paraId="61F70981" w14:textId="77777777">
      <w:pPr>
        <w:jc w:val="both"/>
        <w:rPr>
          <w:rFonts w:cs="Times New Roman"/>
        </w:rPr>
      </w:pPr>
    </w:p>
    <w:p w:rsidRPr="00B632FD" w:rsidR="0044258E" w:rsidP="001E0E03" w:rsidRDefault="0044258E" w14:paraId="5BFFEF51" w14:textId="2F9EBC9A">
      <w:pPr>
        <w:jc w:val="both"/>
        <w:rPr>
          <w:rFonts w:cs="Times New Roman"/>
          <w:kern w:val="0"/>
        </w:rPr>
      </w:pPr>
    </w:p>
    <w:p w:rsidR="00F74867" w:rsidRDefault="00F74867" w14:paraId="07DBA633" w14:textId="77777777">
      <w:pPr>
        <w:sectPr w:rsidR="00F74867" w:rsidSect="008C205C">
          <w:pgSz w:w="12240" w:h="15840"/>
          <w:pgMar w:top="1440" w:right="1440" w:bottom="1440" w:left="1440" w:header="720" w:footer="720" w:gutter="0"/>
          <w:pgBorders w:offsetFrom="page">
            <w:left w:val="single" w:color="auto" w:sz="4" w:space="24"/>
          </w:pgBorders>
          <w:cols w:space="720"/>
          <w:docGrid w:linePitch="360"/>
        </w:sectPr>
      </w:pPr>
    </w:p>
    <w:p w:rsidRPr="00C63FE1" w:rsidR="00C8003C" w:rsidP="00C8003C" w:rsidRDefault="00C8003C" w14:paraId="28EB01C8" w14:textId="6B934399">
      <w:pPr>
        <w:pStyle w:val="Heading1"/>
      </w:pPr>
      <w:bookmarkStart w:name="_Toc205560112" w:id="23"/>
      <w:r w:rsidRPr="00C8003C">
        <w:lastRenderedPageBreak/>
        <w:t xml:space="preserve">URM Division </w:t>
      </w:r>
      <w:r w:rsidR="0032023B">
        <w:t>I</w:t>
      </w:r>
      <w:r w:rsidR="000379DD">
        <w:t>X</w:t>
      </w:r>
      <w:r w:rsidRPr="00C8003C">
        <w:t xml:space="preserve">. </w:t>
      </w:r>
      <w:r w:rsidR="006B1CF2">
        <w:t xml:space="preserve"> </w:t>
      </w:r>
      <w:r>
        <w:t>R</w:t>
      </w:r>
      <w:r w:rsidR="00105E63">
        <w:t>equest for proposals</w:t>
      </w:r>
      <w:r>
        <w:t xml:space="preserve"> </w:t>
      </w:r>
      <w:r w:rsidR="00105E63">
        <w:t>r</w:t>
      </w:r>
      <w:r>
        <w:t>ules</w:t>
      </w:r>
      <w:r w:rsidRPr="00C63FE1">
        <w:t>.</w:t>
      </w:r>
      <w:bookmarkEnd w:id="23"/>
    </w:p>
    <w:p w:rsidRPr="00B107F8" w:rsidR="00F74867" w:rsidP="003A1409" w:rsidRDefault="007A0CD8" w14:paraId="0C2E9260" w14:textId="14AD4DFD">
      <w:pPr>
        <w:sectPr w:rsidRPr="00B107F8" w:rsidR="00F74867" w:rsidSect="008C205C">
          <w:pgSz w:w="12240" w:h="15840"/>
          <w:pgMar w:top="1440" w:right="1440" w:bottom="1440" w:left="1440" w:header="720" w:footer="720" w:gutter="0"/>
          <w:pgBorders w:offsetFrom="page">
            <w:left w:val="single" w:color="auto" w:sz="4" w:space="24"/>
          </w:pgBorders>
          <w:cols w:space="720"/>
          <w:docGrid w:linePitch="360"/>
        </w:sectPr>
      </w:pPr>
      <w:r>
        <w:t>[</w:t>
      </w:r>
      <w:r w:rsidR="00D46A4F">
        <w:t>EXISTING</w:t>
      </w:r>
      <w:r>
        <w:t xml:space="preserve"> RFP RULES </w:t>
      </w:r>
      <w:r w:rsidRPr="00B0288F" w:rsidR="006E3F9E">
        <w:t>AS ADOPTED IN RESOLUTION NO. R.-20-105</w:t>
      </w:r>
      <w:r>
        <w:t xml:space="preserve"> WILL BE INSERTED HERE]</w:t>
      </w:r>
    </w:p>
    <w:p w:rsidR="00F74867" w:rsidP="00F74867" w:rsidRDefault="00F74867" w14:paraId="3A7EE2DA" w14:textId="62692B7A">
      <w:pPr>
        <w:pStyle w:val="Heading1"/>
        <w:rPr>
          <w:i/>
          <w:iCs/>
        </w:rPr>
      </w:pPr>
      <w:bookmarkStart w:name="_Toc205560113" w:id="24"/>
      <w:r>
        <w:lastRenderedPageBreak/>
        <w:t xml:space="preserve">URM Division </w:t>
      </w:r>
      <w:r w:rsidR="0032023B">
        <w:t>X</w:t>
      </w:r>
      <w:r w:rsidRPr="00D81973">
        <w:rPr>
          <w:szCs w:val="24"/>
        </w:rPr>
        <w:t>.</w:t>
      </w:r>
      <w:r w:rsidR="006B1CF2">
        <w:rPr>
          <w:szCs w:val="24"/>
        </w:rPr>
        <w:t xml:space="preserve"> </w:t>
      </w:r>
      <w:r w:rsidRPr="00D81973">
        <w:rPr>
          <w:szCs w:val="24"/>
        </w:rPr>
        <w:t xml:space="preserve"> Protective order </w:t>
      </w:r>
      <w:r>
        <w:t>governing confidential and sensitive information.</w:t>
      </w:r>
      <w:bookmarkEnd w:id="24"/>
    </w:p>
    <w:p w:rsidRPr="003A1409" w:rsidR="00F17771" w:rsidP="00D46A4F" w:rsidRDefault="007A0CD8" w14:paraId="0B91F693" w14:textId="7D906C0C">
      <w:pPr>
        <w:jc w:val="both"/>
        <w:rPr>
          <w:rFonts w:cs="Times New Roman"/>
        </w:rPr>
      </w:pPr>
      <w:r>
        <w:rPr>
          <w:rFonts w:cs="Times New Roman"/>
        </w:rPr>
        <w:t xml:space="preserve">[EXISITNG COUNCIL PROTECTIVE ORDER </w:t>
      </w:r>
      <w:r w:rsidR="00F74867">
        <w:rPr>
          <w:rFonts w:cs="Times New Roman"/>
        </w:rPr>
        <w:t>AS ADOPTED IN RESOLUTION NO. R-07-432</w:t>
      </w:r>
      <w:r>
        <w:rPr>
          <w:rFonts w:cs="Times New Roman"/>
        </w:rPr>
        <w:t xml:space="preserve"> WILL BE INSERTED HERE]</w:t>
      </w:r>
    </w:p>
    <w:p w:rsidRPr="00B632FD" w:rsidR="000E266F" w:rsidP="000E266F" w:rsidRDefault="000E266F" w14:paraId="71C633D9" w14:textId="77777777">
      <w:pPr>
        <w:ind w:left="360"/>
        <w:jc w:val="both"/>
        <w:rPr>
          <w:rFonts w:cs="Times New Roman"/>
        </w:rPr>
      </w:pPr>
    </w:p>
    <w:sectPr w:rsidRPr="00B632FD" w:rsidR="000E266F" w:rsidSect="009D08D6">
      <w:pgSz w:w="12240" w:h="15840"/>
      <w:pgMar w:top="1440" w:right="1440" w:bottom="1440" w:left="1440" w:header="720" w:footer="720" w:gutter="0"/>
      <w:pgBorders w:offsetFrom="page">
        <w:lef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5D5" w:rsidP="00937C0A" w:rsidRDefault="001065D5" w14:paraId="57A57DF4" w14:textId="77777777">
      <w:pPr>
        <w:spacing w:after="0" w:line="240" w:lineRule="auto"/>
      </w:pPr>
      <w:r>
        <w:separator/>
      </w:r>
    </w:p>
  </w:endnote>
  <w:endnote w:type="continuationSeparator" w:id="0">
    <w:p w:rsidR="001065D5" w:rsidP="00937C0A" w:rsidRDefault="001065D5" w14:paraId="127A0DB2" w14:textId="77777777">
      <w:pPr>
        <w:spacing w:after="0" w:line="240" w:lineRule="auto"/>
      </w:pPr>
      <w:r>
        <w:continuationSeparator/>
      </w:r>
    </w:p>
  </w:endnote>
  <w:endnote w:type="continuationNotice" w:id="1">
    <w:p w:rsidR="001065D5" w:rsidRDefault="001065D5" w14:paraId="2280321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DCB" w:rsidRDefault="00EF1DCB" w14:paraId="712A8D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562290"/>
      <w:docPartObj>
        <w:docPartGallery w:val="Page Numbers (Bottom of Page)"/>
        <w:docPartUnique/>
      </w:docPartObj>
    </w:sdtPr>
    <w:sdtEndPr>
      <w:rPr>
        <w:noProof/>
      </w:rPr>
    </w:sdtEndPr>
    <w:sdtContent>
      <w:p w:rsidR="00937C0A" w:rsidRDefault="00937C0A" w14:paraId="29009F02" w14:textId="793D57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37C0A" w:rsidRDefault="00F93A68" w14:paraId="1DA9DF95" w14:textId="0E8DB309">
    <w:pPr>
      <w:pStyle w:val="Footer"/>
    </w:pPr>
    <w:r>
      <w:t>Utility Regulatory Manual</w:t>
    </w:r>
    <w:r w:rsidR="00DD459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DCB" w:rsidRDefault="00EF1DCB" w14:paraId="3B1BAB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5D5" w:rsidP="00937C0A" w:rsidRDefault="001065D5" w14:paraId="5BD5FA31" w14:textId="77777777">
      <w:pPr>
        <w:spacing w:after="0" w:line="240" w:lineRule="auto"/>
      </w:pPr>
      <w:r>
        <w:separator/>
      </w:r>
    </w:p>
  </w:footnote>
  <w:footnote w:type="continuationSeparator" w:id="0">
    <w:p w:rsidR="001065D5" w:rsidP="00937C0A" w:rsidRDefault="001065D5" w14:paraId="0AD04234" w14:textId="77777777">
      <w:pPr>
        <w:spacing w:after="0" w:line="240" w:lineRule="auto"/>
      </w:pPr>
      <w:r>
        <w:continuationSeparator/>
      </w:r>
    </w:p>
  </w:footnote>
  <w:footnote w:type="continuationNotice" w:id="1">
    <w:p w:rsidR="001065D5" w:rsidRDefault="001065D5" w14:paraId="7817047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DCB" w:rsidRDefault="00EF1DCB" w14:paraId="6F9E67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9DD" w:rsidP="009D08D6" w:rsidRDefault="000379DD" w14:paraId="6601DECA" w14:textId="77777777">
    <w:pPr>
      <w:pStyle w:val="Header"/>
      <w:ind w:lef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DCB" w:rsidRDefault="00EF1DCB" w14:paraId="416EF6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D3D"/>
    <w:multiLevelType w:val="hybridMultilevel"/>
    <w:tmpl w:val="27C4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90328"/>
    <w:multiLevelType w:val="multilevel"/>
    <w:tmpl w:val="7E667992"/>
    <w:lvl w:ilvl="0">
      <w:start w:val="1"/>
      <w:numFmt w:val="decimal"/>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4001EF"/>
    <w:multiLevelType w:val="hybridMultilevel"/>
    <w:tmpl w:val="C2E09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35CBD"/>
    <w:multiLevelType w:val="hybridMultilevel"/>
    <w:tmpl w:val="06DA4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C4665"/>
    <w:multiLevelType w:val="hybridMultilevel"/>
    <w:tmpl w:val="ED5EBF0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996CC9"/>
    <w:multiLevelType w:val="hybridMultilevel"/>
    <w:tmpl w:val="8E4A3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634530"/>
    <w:multiLevelType w:val="hybridMultilevel"/>
    <w:tmpl w:val="1E8C4C68"/>
    <w:lvl w:ilvl="0" w:tplc="0318FBD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987ED5"/>
    <w:multiLevelType w:val="hybridMultilevel"/>
    <w:tmpl w:val="22265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5C2C8D"/>
    <w:multiLevelType w:val="hybridMultilevel"/>
    <w:tmpl w:val="66901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D707E"/>
    <w:multiLevelType w:val="hybridMultilevel"/>
    <w:tmpl w:val="A30EB99A"/>
    <w:lvl w:ilvl="0" w:tplc="B20E5B8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EC5433"/>
    <w:multiLevelType w:val="hybridMultilevel"/>
    <w:tmpl w:val="F15E2316"/>
    <w:lvl w:ilvl="0" w:tplc="12B8803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A80AEF"/>
    <w:multiLevelType w:val="multilevel"/>
    <w:tmpl w:val="4822CC46"/>
    <w:lvl w:ilvl="0">
      <w:numFmt w:val="bullet"/>
      <w:lvlText w:val="·"/>
      <w:lvlJc w:val="left"/>
      <w:pPr>
        <w:tabs>
          <w:tab w:val="left" w:pos="1656"/>
        </w:tabs>
      </w:pPr>
      <w:rPr>
        <w:rFonts w:ascii="Symbol" w:eastAsia="Symbol" w:hAnsi="Symbol"/>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EB6B6D"/>
    <w:multiLevelType w:val="hybridMultilevel"/>
    <w:tmpl w:val="1CD4676A"/>
    <w:lvl w:ilvl="0" w:tplc="0409001B">
      <w:start w:val="1"/>
      <w:numFmt w:val="lowerRoman"/>
      <w:lvlText w:val="%1."/>
      <w:lvlJc w:val="right"/>
      <w:pPr>
        <w:ind w:left="3600" w:hanging="18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C0708AC"/>
    <w:multiLevelType w:val="hybridMultilevel"/>
    <w:tmpl w:val="A3EE7C6A"/>
    <w:lvl w:ilvl="0" w:tplc="E980895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B23586"/>
    <w:multiLevelType w:val="multilevel"/>
    <w:tmpl w:val="4BCE8668"/>
    <w:lvl w:ilvl="0">
      <w:start w:val="1"/>
      <w:numFmt w:val="decimal"/>
      <w:lvlText w:val="%1."/>
      <w:lvlJc w:val="left"/>
      <w:pPr>
        <w:tabs>
          <w:tab w:val="left" w:pos="79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46494B"/>
    <w:multiLevelType w:val="multilevel"/>
    <w:tmpl w:val="31284B92"/>
    <w:lvl w:ilvl="0">
      <w:start w:val="1"/>
      <w:numFmt w:val="decimal"/>
      <w:lvlText w:val="%1."/>
      <w:lvlJc w:val="left"/>
      <w:pPr>
        <w:tabs>
          <w:tab w:val="left" w:pos="432"/>
        </w:tabs>
      </w:pPr>
      <w:rPr>
        <w:rFonts w:ascii="Times New Roman" w:eastAsia="Times New Roman" w:hAnsi="Times New Roman"/>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576061"/>
    <w:multiLevelType w:val="hybridMultilevel"/>
    <w:tmpl w:val="773CBC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EB731B6"/>
    <w:multiLevelType w:val="multilevel"/>
    <w:tmpl w:val="7A4A046A"/>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EC83B25"/>
    <w:multiLevelType w:val="hybridMultilevel"/>
    <w:tmpl w:val="71C27FF8"/>
    <w:lvl w:ilvl="0" w:tplc="56A45A2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7C7E5D"/>
    <w:multiLevelType w:val="multilevel"/>
    <w:tmpl w:val="2E2E1D98"/>
    <w:lvl w:ilvl="0">
      <w:start w:val="1"/>
      <w:numFmt w:val="decimal"/>
      <w:lvlText w:val="%1."/>
      <w:lvlJc w:val="left"/>
      <w:pPr>
        <w:tabs>
          <w:tab w:val="left" w:pos="432"/>
        </w:tabs>
      </w:pPr>
      <w:rPr>
        <w:rFonts w:ascii="Times New Roman" w:eastAsia="Times New Roman" w:hAnsi="Times New Roman"/>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2573BEF"/>
    <w:multiLevelType w:val="hybridMultilevel"/>
    <w:tmpl w:val="17C099DC"/>
    <w:lvl w:ilvl="0" w:tplc="0409000F">
      <w:start w:val="1"/>
      <w:numFmt w:val="decimal"/>
      <w:lvlText w:val="%1."/>
      <w:lvlJc w:val="left"/>
      <w:pPr>
        <w:ind w:left="720" w:hanging="360"/>
      </w:pPr>
    </w:lvl>
    <w:lvl w:ilvl="1" w:tplc="04090019">
      <w:start w:val="1"/>
      <w:numFmt w:val="lowerLetter"/>
      <w:lvlText w:val="%2."/>
      <w:lvlJc w:val="left"/>
      <w:pPr>
        <w:ind w:left="279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F12CFB0">
      <w:start w:val="1"/>
      <w:numFmt w:val="lowerLetter"/>
      <w:lvlText w:val="%5.)"/>
      <w:lvlJc w:val="left"/>
      <w:pPr>
        <w:ind w:left="3600" w:hanging="360"/>
      </w:pPr>
      <w:rPr>
        <w:rFonts w:hint="default"/>
      </w:rPr>
    </w:lvl>
    <w:lvl w:ilvl="5" w:tplc="FB7C582E">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177C7"/>
    <w:multiLevelType w:val="hybridMultilevel"/>
    <w:tmpl w:val="C5668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25780A"/>
    <w:multiLevelType w:val="multilevel"/>
    <w:tmpl w:val="EEB8A078"/>
    <w:lvl w:ilvl="0">
      <w:start w:val="1"/>
      <w:numFmt w:val="decimal"/>
      <w:lvlText w:val="%1."/>
      <w:lvlJc w:val="left"/>
      <w:pPr>
        <w:tabs>
          <w:tab w:val="left" w:pos="86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42A4E0D"/>
    <w:multiLevelType w:val="multilevel"/>
    <w:tmpl w:val="0DCCBE9C"/>
    <w:lvl w:ilvl="0">
      <w:start w:val="1"/>
      <w:numFmt w:val="decimal"/>
      <w:lvlText w:val="%1."/>
      <w:lvlJc w:val="left"/>
      <w:pPr>
        <w:tabs>
          <w:tab w:val="left" w:pos="86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53D6E38"/>
    <w:multiLevelType w:val="multilevel"/>
    <w:tmpl w:val="52A4DF0A"/>
    <w:lvl w:ilvl="0">
      <w:start w:val="1"/>
      <w:numFmt w:val="decimal"/>
      <w:lvlText w:val="(%1)"/>
      <w:lvlJc w:val="left"/>
      <w:pPr>
        <w:tabs>
          <w:tab w:val="left" w:pos="3312"/>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58073B8"/>
    <w:multiLevelType w:val="multilevel"/>
    <w:tmpl w:val="304422DC"/>
    <w:lvl w:ilvl="0">
      <w:start w:val="1"/>
      <w:numFmt w:val="decimal"/>
      <w:lvlText w:val="%1."/>
      <w:lvlJc w:val="left"/>
      <w:pPr>
        <w:tabs>
          <w:tab w:val="left" w:pos="86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61854E3"/>
    <w:multiLevelType w:val="hybridMultilevel"/>
    <w:tmpl w:val="F5240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936C1A"/>
    <w:multiLevelType w:val="hybridMultilevel"/>
    <w:tmpl w:val="B322A082"/>
    <w:lvl w:ilvl="0" w:tplc="420AD18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A04D7A"/>
    <w:multiLevelType w:val="multilevel"/>
    <w:tmpl w:val="0DD4FA44"/>
    <w:lvl w:ilvl="0">
      <w:start w:val="6"/>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EB25484"/>
    <w:multiLevelType w:val="hybridMultilevel"/>
    <w:tmpl w:val="3CBC6DAC"/>
    <w:lvl w:ilvl="0" w:tplc="CB725960">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ED9353E"/>
    <w:multiLevelType w:val="hybridMultilevel"/>
    <w:tmpl w:val="7638A638"/>
    <w:lvl w:ilvl="0" w:tplc="FFFFFFF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1F291026"/>
    <w:multiLevelType w:val="hybridMultilevel"/>
    <w:tmpl w:val="5CD02A6A"/>
    <w:lvl w:ilvl="0" w:tplc="FBC2C67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7F7ADD"/>
    <w:multiLevelType w:val="multilevel"/>
    <w:tmpl w:val="6840E88A"/>
    <w:lvl w:ilvl="0">
      <w:start w:val="1"/>
      <w:numFmt w:val="upperLetter"/>
      <w:lvlText w:val="%1."/>
      <w:lvlJc w:val="left"/>
      <w:pPr>
        <w:tabs>
          <w:tab w:val="left" w:pos="360"/>
        </w:tabs>
      </w:pPr>
      <w:rPr>
        <w:rFonts w:ascii="Times New Roman" w:eastAsia="Times New Roman" w:hAnsi="Times New Roman"/>
        <w:b/>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A80F3A"/>
    <w:multiLevelType w:val="multilevel"/>
    <w:tmpl w:val="92148000"/>
    <w:lvl w:ilvl="0">
      <w:start w:val="1"/>
      <w:numFmt w:val="decimal"/>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17258A5"/>
    <w:multiLevelType w:val="hybridMultilevel"/>
    <w:tmpl w:val="F3520FD8"/>
    <w:lvl w:ilvl="0" w:tplc="FFFFFFF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22CA66AC"/>
    <w:multiLevelType w:val="multilevel"/>
    <w:tmpl w:val="2F74F0DC"/>
    <w:lvl w:ilvl="0">
      <w:start w:val="1"/>
      <w:numFmt w:val="low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6067A98"/>
    <w:multiLevelType w:val="hybridMultilevel"/>
    <w:tmpl w:val="E8C8D1C6"/>
    <w:lvl w:ilvl="0" w:tplc="FBC2C670">
      <w:start w:val="1"/>
      <w:numFmt w:val="lowerLetter"/>
      <w:lvlText w:val="%1)"/>
      <w:lvlJc w:val="left"/>
      <w:pPr>
        <w:ind w:left="720" w:hanging="360"/>
      </w:pPr>
    </w:lvl>
    <w:lvl w:ilvl="1" w:tplc="43C0AFB0">
      <w:start w:val="1"/>
      <w:numFmt w:val="decimal"/>
      <w:lvlText w:val="%2."/>
      <w:lvlJc w:val="left"/>
      <w:pPr>
        <w:ind w:left="1440" w:hanging="360"/>
      </w:pPr>
    </w:lvl>
    <w:lvl w:ilvl="2" w:tplc="60507272">
      <w:start w:val="1"/>
      <w:numFmt w:val="lowerRoman"/>
      <w:lvlText w:val="%3."/>
      <w:lvlJc w:val="right"/>
      <w:pPr>
        <w:ind w:left="2160" w:hanging="180"/>
      </w:pPr>
    </w:lvl>
    <w:lvl w:ilvl="3" w:tplc="0644A2CC">
      <w:start w:val="1"/>
      <w:numFmt w:val="lowerLetter"/>
      <w:lvlText w:val="(%4)"/>
      <w:lvlJc w:val="left"/>
      <w:pPr>
        <w:ind w:left="2910" w:hanging="390"/>
      </w:pPr>
      <w:rPr>
        <w:rFonts w:hint="default"/>
      </w:rPr>
    </w:lvl>
    <w:lvl w:ilvl="4" w:tplc="FB3A9AB6" w:tentative="1">
      <w:start w:val="1"/>
      <w:numFmt w:val="lowerLetter"/>
      <w:lvlText w:val="%5."/>
      <w:lvlJc w:val="left"/>
      <w:pPr>
        <w:ind w:left="3600" w:hanging="360"/>
      </w:pPr>
    </w:lvl>
    <w:lvl w:ilvl="5" w:tplc="CC9C376E" w:tentative="1">
      <w:start w:val="1"/>
      <w:numFmt w:val="lowerRoman"/>
      <w:lvlText w:val="%6."/>
      <w:lvlJc w:val="right"/>
      <w:pPr>
        <w:ind w:left="4320" w:hanging="180"/>
      </w:pPr>
    </w:lvl>
    <w:lvl w:ilvl="6" w:tplc="CBFE7020" w:tentative="1">
      <w:start w:val="1"/>
      <w:numFmt w:val="decimal"/>
      <w:lvlText w:val="%7."/>
      <w:lvlJc w:val="left"/>
      <w:pPr>
        <w:ind w:left="5040" w:hanging="360"/>
      </w:pPr>
    </w:lvl>
    <w:lvl w:ilvl="7" w:tplc="FE20BC44" w:tentative="1">
      <w:start w:val="1"/>
      <w:numFmt w:val="lowerLetter"/>
      <w:lvlText w:val="%8."/>
      <w:lvlJc w:val="left"/>
      <w:pPr>
        <w:ind w:left="5760" w:hanging="360"/>
      </w:pPr>
    </w:lvl>
    <w:lvl w:ilvl="8" w:tplc="1166BA8E" w:tentative="1">
      <w:start w:val="1"/>
      <w:numFmt w:val="lowerRoman"/>
      <w:lvlText w:val="%9."/>
      <w:lvlJc w:val="right"/>
      <w:pPr>
        <w:ind w:left="6480" w:hanging="180"/>
      </w:pPr>
    </w:lvl>
  </w:abstractNum>
  <w:abstractNum w:abstractNumId="37" w15:restartNumberingAfterBreak="0">
    <w:nsid w:val="270E0E9E"/>
    <w:multiLevelType w:val="multilevel"/>
    <w:tmpl w:val="DC22BBE0"/>
    <w:lvl w:ilvl="0">
      <w:start w:val="6"/>
      <w:numFmt w:val="upperLetter"/>
      <w:lvlText w:val="%1."/>
      <w:lvlJc w:val="left"/>
      <w:pPr>
        <w:tabs>
          <w:tab w:val="left" w:pos="288"/>
        </w:tabs>
      </w:pPr>
      <w:rPr>
        <w:rFonts w:ascii="Times New Roman" w:eastAsia="Times New Roman" w:hAnsi="Times New Roman"/>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7E12B61"/>
    <w:multiLevelType w:val="multilevel"/>
    <w:tmpl w:val="BEB0063C"/>
    <w:lvl w:ilvl="0">
      <w:start w:val="1"/>
      <w:numFmt w:val="decimal"/>
      <w:lvlText w:val="%1."/>
      <w:lvlJc w:val="left"/>
      <w:pPr>
        <w:tabs>
          <w:tab w:val="left" w:pos="936"/>
        </w:tabs>
      </w:pPr>
      <w:rPr>
        <w:rFonts w:ascii="Times New Roman" w:eastAsia="Times New Roman" w:hAnsi="Times New Roman"/>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80509BB"/>
    <w:multiLevelType w:val="hybridMultilevel"/>
    <w:tmpl w:val="C70A4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992F44"/>
    <w:multiLevelType w:val="hybridMultilevel"/>
    <w:tmpl w:val="15D84E52"/>
    <w:lvl w:ilvl="0" w:tplc="FD402300">
      <w:start w:val="1"/>
      <w:numFmt w:val="decimal"/>
      <w:lvlText w:val="%1."/>
      <w:lvlJc w:val="left"/>
      <w:pPr>
        <w:ind w:left="1440" w:hanging="360"/>
      </w:pPr>
    </w:lvl>
    <w:lvl w:ilvl="1" w:tplc="0AC2F66C" w:tentative="1">
      <w:start w:val="1"/>
      <w:numFmt w:val="lowerLetter"/>
      <w:lvlText w:val="%2."/>
      <w:lvlJc w:val="left"/>
      <w:pPr>
        <w:ind w:left="1440" w:hanging="360"/>
      </w:pPr>
    </w:lvl>
    <w:lvl w:ilvl="2" w:tplc="0D9C72EA" w:tentative="1">
      <w:start w:val="1"/>
      <w:numFmt w:val="lowerRoman"/>
      <w:lvlText w:val="%3."/>
      <w:lvlJc w:val="right"/>
      <w:pPr>
        <w:ind w:left="2160" w:hanging="180"/>
      </w:pPr>
    </w:lvl>
    <w:lvl w:ilvl="3" w:tplc="00864E92" w:tentative="1">
      <w:start w:val="1"/>
      <w:numFmt w:val="decimal"/>
      <w:lvlText w:val="%4."/>
      <w:lvlJc w:val="left"/>
      <w:pPr>
        <w:ind w:left="2880" w:hanging="360"/>
      </w:pPr>
    </w:lvl>
    <w:lvl w:ilvl="4" w:tplc="C624D61E" w:tentative="1">
      <w:start w:val="1"/>
      <w:numFmt w:val="lowerLetter"/>
      <w:lvlText w:val="%5."/>
      <w:lvlJc w:val="left"/>
      <w:pPr>
        <w:ind w:left="3600" w:hanging="360"/>
      </w:pPr>
    </w:lvl>
    <w:lvl w:ilvl="5" w:tplc="E7F42ECA" w:tentative="1">
      <w:start w:val="1"/>
      <w:numFmt w:val="lowerRoman"/>
      <w:lvlText w:val="%6."/>
      <w:lvlJc w:val="right"/>
      <w:pPr>
        <w:ind w:left="4320" w:hanging="180"/>
      </w:pPr>
    </w:lvl>
    <w:lvl w:ilvl="6" w:tplc="59C2BE44" w:tentative="1">
      <w:start w:val="1"/>
      <w:numFmt w:val="decimal"/>
      <w:lvlText w:val="%7."/>
      <w:lvlJc w:val="left"/>
      <w:pPr>
        <w:ind w:left="5040" w:hanging="360"/>
      </w:pPr>
    </w:lvl>
    <w:lvl w:ilvl="7" w:tplc="AFAAC2EC" w:tentative="1">
      <w:start w:val="1"/>
      <w:numFmt w:val="lowerLetter"/>
      <w:lvlText w:val="%8."/>
      <w:lvlJc w:val="left"/>
      <w:pPr>
        <w:ind w:left="5760" w:hanging="360"/>
      </w:pPr>
    </w:lvl>
    <w:lvl w:ilvl="8" w:tplc="53F658C8" w:tentative="1">
      <w:start w:val="1"/>
      <w:numFmt w:val="lowerRoman"/>
      <w:lvlText w:val="%9."/>
      <w:lvlJc w:val="right"/>
      <w:pPr>
        <w:ind w:left="6480" w:hanging="180"/>
      </w:pPr>
    </w:lvl>
  </w:abstractNum>
  <w:abstractNum w:abstractNumId="41" w15:restartNumberingAfterBreak="0">
    <w:nsid w:val="293814B1"/>
    <w:multiLevelType w:val="multilevel"/>
    <w:tmpl w:val="1B8A06B8"/>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95F613C"/>
    <w:multiLevelType w:val="multilevel"/>
    <w:tmpl w:val="301057F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9F6029B"/>
    <w:multiLevelType w:val="hybridMultilevel"/>
    <w:tmpl w:val="BD2AA4B2"/>
    <w:lvl w:ilvl="0" w:tplc="2D02197A">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4" w15:restartNumberingAfterBreak="0">
    <w:nsid w:val="2A484776"/>
    <w:multiLevelType w:val="multilevel"/>
    <w:tmpl w:val="72163486"/>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A4E1B1C"/>
    <w:multiLevelType w:val="hybridMultilevel"/>
    <w:tmpl w:val="8758B75E"/>
    <w:lvl w:ilvl="0" w:tplc="A794684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A664BEC"/>
    <w:multiLevelType w:val="hybridMultilevel"/>
    <w:tmpl w:val="D9B69388"/>
    <w:lvl w:ilvl="0" w:tplc="3EFE214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C37056D"/>
    <w:multiLevelType w:val="multilevel"/>
    <w:tmpl w:val="8AC40AD6"/>
    <w:lvl w:ilvl="0">
      <w:start w:val="1"/>
      <w:numFmt w:val="decimal"/>
      <w:lvlText w:val="%1."/>
      <w:lvlJc w:val="left"/>
      <w:pPr>
        <w:tabs>
          <w:tab w:val="left" w:pos="432"/>
        </w:tabs>
      </w:pPr>
      <w:rPr>
        <w:rFonts w:ascii="Times New Roman" w:eastAsia="Times New Roman" w:hAnsi="Times New Roman"/>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D5E2B57"/>
    <w:multiLevelType w:val="multilevel"/>
    <w:tmpl w:val="E4D2E55A"/>
    <w:lvl w:ilvl="0">
      <w:start w:val="1"/>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E5825B3"/>
    <w:multiLevelType w:val="hybridMultilevel"/>
    <w:tmpl w:val="C2747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EEA7FA8"/>
    <w:multiLevelType w:val="multilevel"/>
    <w:tmpl w:val="67185F1C"/>
    <w:lvl w:ilvl="0">
      <w:start w:val="1"/>
      <w:numFmt w:val="decimal"/>
      <w:lvlText w:val="%1."/>
      <w:lvlJc w:val="left"/>
      <w:pPr>
        <w:tabs>
          <w:tab w:val="left" w:pos="86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1287839"/>
    <w:multiLevelType w:val="hybridMultilevel"/>
    <w:tmpl w:val="F1E22F86"/>
    <w:lvl w:ilvl="0" w:tplc="805CE64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1E14510"/>
    <w:multiLevelType w:val="hybridMultilevel"/>
    <w:tmpl w:val="6CAA3B70"/>
    <w:lvl w:ilvl="0" w:tplc="835852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4211E90"/>
    <w:multiLevelType w:val="multilevel"/>
    <w:tmpl w:val="6AAE256E"/>
    <w:lvl w:ilvl="0">
      <w:start w:val="3"/>
      <w:numFmt w:val="decimal"/>
      <w:lvlText w:val="%1."/>
      <w:lvlJc w:val="left"/>
      <w:pPr>
        <w:tabs>
          <w:tab w:val="left" w:pos="86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5816331"/>
    <w:multiLevelType w:val="multilevel"/>
    <w:tmpl w:val="2DDA8132"/>
    <w:lvl w:ilvl="0">
      <w:start w:val="1"/>
      <w:numFmt w:val="decimal"/>
      <w:lvlText w:val="%1."/>
      <w:lvlJc w:val="left"/>
      <w:pPr>
        <w:tabs>
          <w:tab w:val="left" w:pos="79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7822240"/>
    <w:multiLevelType w:val="multilevel"/>
    <w:tmpl w:val="B600A214"/>
    <w:lvl w:ilvl="0">
      <w:start w:val="1"/>
      <w:numFmt w:val="upperLetter"/>
      <w:lvlText w:val="%1."/>
      <w:lvlJc w:val="left"/>
      <w:pPr>
        <w:tabs>
          <w:tab w:val="left" w:pos="648"/>
        </w:tabs>
      </w:pPr>
      <w:rPr>
        <w:rFonts w:ascii="Times New Roman" w:eastAsia="Times New Roman" w:hAnsi="Times New Roman"/>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85E1CD1"/>
    <w:multiLevelType w:val="multilevel"/>
    <w:tmpl w:val="5E22CE3E"/>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8D44CDA"/>
    <w:multiLevelType w:val="hybridMultilevel"/>
    <w:tmpl w:val="F6E69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06489E"/>
    <w:multiLevelType w:val="hybridMultilevel"/>
    <w:tmpl w:val="90FCB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91E0448"/>
    <w:multiLevelType w:val="multilevel"/>
    <w:tmpl w:val="EA7C16FC"/>
    <w:lvl w:ilvl="0">
      <w:start w:val="1"/>
      <w:numFmt w:val="upperLetter"/>
      <w:lvlText w:val="%1."/>
      <w:lvlJc w:val="left"/>
      <w:pPr>
        <w:tabs>
          <w:tab w:val="left" w:pos="288"/>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92D2A6C"/>
    <w:multiLevelType w:val="hybridMultilevel"/>
    <w:tmpl w:val="E8C8D1C6"/>
    <w:lvl w:ilvl="0" w:tplc="8F2276B6">
      <w:start w:val="1"/>
      <w:numFmt w:val="lowerLetter"/>
      <w:lvlText w:val="%1)"/>
      <w:lvlJc w:val="left"/>
      <w:pPr>
        <w:ind w:left="720" w:hanging="360"/>
      </w:pPr>
    </w:lvl>
    <w:lvl w:ilvl="1" w:tplc="C4AEDBE2">
      <w:start w:val="1"/>
      <w:numFmt w:val="decimal"/>
      <w:lvlText w:val="%2."/>
      <w:lvlJc w:val="left"/>
      <w:pPr>
        <w:ind w:left="1440" w:hanging="360"/>
      </w:pPr>
    </w:lvl>
    <w:lvl w:ilvl="2" w:tplc="1DBC1638">
      <w:start w:val="1"/>
      <w:numFmt w:val="lowerRoman"/>
      <w:lvlText w:val="%3."/>
      <w:lvlJc w:val="right"/>
      <w:pPr>
        <w:ind w:left="2160" w:hanging="180"/>
      </w:pPr>
    </w:lvl>
    <w:lvl w:ilvl="3" w:tplc="A322BA8A">
      <w:start w:val="1"/>
      <w:numFmt w:val="lowerLetter"/>
      <w:lvlText w:val="(%4)"/>
      <w:lvlJc w:val="left"/>
      <w:pPr>
        <w:ind w:left="2910" w:hanging="390"/>
      </w:pPr>
      <w:rPr>
        <w:rFonts w:hint="default"/>
      </w:rPr>
    </w:lvl>
    <w:lvl w:ilvl="4" w:tplc="E0409420" w:tentative="1">
      <w:start w:val="1"/>
      <w:numFmt w:val="lowerLetter"/>
      <w:lvlText w:val="%5."/>
      <w:lvlJc w:val="left"/>
      <w:pPr>
        <w:ind w:left="3600" w:hanging="360"/>
      </w:pPr>
    </w:lvl>
    <w:lvl w:ilvl="5" w:tplc="329E42D4" w:tentative="1">
      <w:start w:val="1"/>
      <w:numFmt w:val="lowerRoman"/>
      <w:lvlText w:val="%6."/>
      <w:lvlJc w:val="right"/>
      <w:pPr>
        <w:ind w:left="4320" w:hanging="180"/>
      </w:pPr>
    </w:lvl>
    <w:lvl w:ilvl="6" w:tplc="411AD60A" w:tentative="1">
      <w:start w:val="1"/>
      <w:numFmt w:val="decimal"/>
      <w:lvlText w:val="%7."/>
      <w:lvlJc w:val="left"/>
      <w:pPr>
        <w:ind w:left="5040" w:hanging="360"/>
      </w:pPr>
    </w:lvl>
    <w:lvl w:ilvl="7" w:tplc="CD688530" w:tentative="1">
      <w:start w:val="1"/>
      <w:numFmt w:val="lowerLetter"/>
      <w:lvlText w:val="%8."/>
      <w:lvlJc w:val="left"/>
      <w:pPr>
        <w:ind w:left="5760" w:hanging="360"/>
      </w:pPr>
    </w:lvl>
    <w:lvl w:ilvl="8" w:tplc="1402E492" w:tentative="1">
      <w:start w:val="1"/>
      <w:numFmt w:val="lowerRoman"/>
      <w:lvlText w:val="%9."/>
      <w:lvlJc w:val="right"/>
      <w:pPr>
        <w:ind w:left="6480" w:hanging="180"/>
      </w:pPr>
    </w:lvl>
  </w:abstractNum>
  <w:abstractNum w:abstractNumId="61" w15:restartNumberingAfterBreak="0">
    <w:nsid w:val="3AFA4ADE"/>
    <w:multiLevelType w:val="hybridMultilevel"/>
    <w:tmpl w:val="CBBEDECE"/>
    <w:lvl w:ilvl="0" w:tplc="E160B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C361FCA"/>
    <w:multiLevelType w:val="hybridMultilevel"/>
    <w:tmpl w:val="7E8AE564"/>
    <w:lvl w:ilvl="0" w:tplc="B7001A4E">
      <w:start w:val="4"/>
      <w:numFmt w:val="decimal"/>
      <w:lvlText w:val="%1."/>
      <w:lvlJc w:val="left"/>
      <w:pPr>
        <w:ind w:left="77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6D8067EE">
      <w:start w:val="1"/>
      <w:numFmt w:val="lowerLetter"/>
      <w:lvlText w:val="%2"/>
      <w:lvlJc w:val="left"/>
      <w:pPr>
        <w:ind w:left="109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9D12503A">
      <w:start w:val="1"/>
      <w:numFmt w:val="lowerRoman"/>
      <w:lvlText w:val="%3"/>
      <w:lvlJc w:val="left"/>
      <w:pPr>
        <w:ind w:left="181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7CAA08C">
      <w:start w:val="1"/>
      <w:numFmt w:val="decimal"/>
      <w:lvlText w:val="%4"/>
      <w:lvlJc w:val="left"/>
      <w:pPr>
        <w:ind w:left="253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8410D7F6">
      <w:start w:val="1"/>
      <w:numFmt w:val="lowerLetter"/>
      <w:lvlText w:val="%5"/>
      <w:lvlJc w:val="left"/>
      <w:pPr>
        <w:ind w:left="325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BA4424C">
      <w:start w:val="1"/>
      <w:numFmt w:val="lowerRoman"/>
      <w:lvlText w:val="%6"/>
      <w:lvlJc w:val="left"/>
      <w:pPr>
        <w:ind w:left="397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D3087370">
      <w:start w:val="1"/>
      <w:numFmt w:val="decimal"/>
      <w:lvlText w:val="%7"/>
      <w:lvlJc w:val="left"/>
      <w:pPr>
        <w:ind w:left="469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3DC5638">
      <w:start w:val="1"/>
      <w:numFmt w:val="lowerLetter"/>
      <w:lvlText w:val="%8"/>
      <w:lvlJc w:val="left"/>
      <w:pPr>
        <w:ind w:left="541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040A3A58">
      <w:start w:val="1"/>
      <w:numFmt w:val="lowerRoman"/>
      <w:lvlText w:val="%9"/>
      <w:lvlJc w:val="left"/>
      <w:pPr>
        <w:ind w:left="613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63" w15:restartNumberingAfterBreak="0">
    <w:nsid w:val="3D32673E"/>
    <w:multiLevelType w:val="multilevel"/>
    <w:tmpl w:val="F5EA9E22"/>
    <w:lvl w:ilvl="0">
      <w:start w:val="1"/>
      <w:numFmt w:val="decimal"/>
      <w:lvlText w:val="%1."/>
      <w:lvlJc w:val="left"/>
      <w:pPr>
        <w:tabs>
          <w:tab w:val="left" w:pos="86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DAF1EC2"/>
    <w:multiLevelType w:val="hybridMultilevel"/>
    <w:tmpl w:val="85EAF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E307E0F"/>
    <w:multiLevelType w:val="hybridMultilevel"/>
    <w:tmpl w:val="E9AC2178"/>
    <w:lvl w:ilvl="0" w:tplc="D5220F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3EA87F45"/>
    <w:multiLevelType w:val="multilevel"/>
    <w:tmpl w:val="90E66C88"/>
    <w:lvl w:ilvl="0">
      <w:start w:val="1"/>
      <w:numFmt w:val="decimal"/>
      <w:lvlText w:val="%1."/>
      <w:lvlJc w:val="left"/>
      <w:pPr>
        <w:tabs>
          <w:tab w:val="left" w:pos="936"/>
        </w:tabs>
      </w:pPr>
      <w:rPr>
        <w:rFonts w:ascii="Times New Roman" w:eastAsia="Times New Roman" w:hAnsi="Times New Roman"/>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0B052E7"/>
    <w:multiLevelType w:val="hybridMultilevel"/>
    <w:tmpl w:val="5B125032"/>
    <w:lvl w:ilvl="0" w:tplc="9398BC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14369EF"/>
    <w:multiLevelType w:val="hybridMultilevel"/>
    <w:tmpl w:val="96769B7C"/>
    <w:lvl w:ilvl="0" w:tplc="FBC2C67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166280D"/>
    <w:multiLevelType w:val="hybridMultilevel"/>
    <w:tmpl w:val="FAD68A74"/>
    <w:lvl w:ilvl="0" w:tplc="3EFE2140">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293396D"/>
    <w:multiLevelType w:val="hybridMultilevel"/>
    <w:tmpl w:val="9CB6A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362577D"/>
    <w:multiLevelType w:val="multilevel"/>
    <w:tmpl w:val="50BA408A"/>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3990A1C"/>
    <w:multiLevelType w:val="hybridMultilevel"/>
    <w:tmpl w:val="A7DE6ADC"/>
    <w:lvl w:ilvl="0" w:tplc="E980895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3BF3E4B"/>
    <w:multiLevelType w:val="hybridMultilevel"/>
    <w:tmpl w:val="01CC64A4"/>
    <w:lvl w:ilvl="0" w:tplc="D0CA58E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4B21DEB"/>
    <w:multiLevelType w:val="hybridMultilevel"/>
    <w:tmpl w:val="DDBCFA34"/>
    <w:lvl w:ilvl="0" w:tplc="5E208718">
      <w:start w:val="1"/>
      <w:numFmt w:val="decimal"/>
      <w:lvlText w:val="%1."/>
      <w:lvlJc w:val="left"/>
      <w:pPr>
        <w:ind w:left="7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732EBAC">
      <w:start w:val="1"/>
      <w:numFmt w:val="lowerLetter"/>
      <w:lvlText w:val="%2"/>
      <w:lvlJc w:val="left"/>
      <w:pPr>
        <w:ind w:left="10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E009C3C">
      <w:start w:val="1"/>
      <w:numFmt w:val="lowerRoman"/>
      <w:lvlText w:val="%3"/>
      <w:lvlJc w:val="left"/>
      <w:pPr>
        <w:ind w:left="18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9B8DA6C">
      <w:start w:val="1"/>
      <w:numFmt w:val="decimal"/>
      <w:lvlText w:val="%4"/>
      <w:lvlJc w:val="left"/>
      <w:pPr>
        <w:ind w:left="25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BA4468C">
      <w:start w:val="1"/>
      <w:numFmt w:val="lowerLetter"/>
      <w:lvlText w:val="%5"/>
      <w:lvlJc w:val="left"/>
      <w:pPr>
        <w:ind w:left="32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9A82ACC">
      <w:start w:val="1"/>
      <w:numFmt w:val="lowerRoman"/>
      <w:lvlText w:val="%6"/>
      <w:lvlJc w:val="left"/>
      <w:pPr>
        <w:ind w:left="39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DE4A26E">
      <w:start w:val="1"/>
      <w:numFmt w:val="decimal"/>
      <w:lvlText w:val="%7"/>
      <w:lvlJc w:val="left"/>
      <w:pPr>
        <w:ind w:left="46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A6CBD6">
      <w:start w:val="1"/>
      <w:numFmt w:val="lowerLetter"/>
      <w:lvlText w:val="%8"/>
      <w:lvlJc w:val="left"/>
      <w:pPr>
        <w:ind w:left="54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0CC93D2">
      <w:start w:val="1"/>
      <w:numFmt w:val="lowerRoman"/>
      <w:lvlText w:val="%9"/>
      <w:lvlJc w:val="left"/>
      <w:pPr>
        <w:ind w:left="61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5" w15:restartNumberingAfterBreak="0">
    <w:nsid w:val="454236C0"/>
    <w:multiLevelType w:val="hybridMultilevel"/>
    <w:tmpl w:val="C2328FA2"/>
    <w:lvl w:ilvl="0" w:tplc="7AE04B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7D87CC7"/>
    <w:multiLevelType w:val="hybridMultilevel"/>
    <w:tmpl w:val="AB4AB4AC"/>
    <w:lvl w:ilvl="0" w:tplc="0B82EE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7EF7187"/>
    <w:multiLevelType w:val="multilevel"/>
    <w:tmpl w:val="29BEDB5C"/>
    <w:lvl w:ilvl="0">
      <w:start w:val="1"/>
      <w:numFmt w:val="decimal"/>
      <w:lvlText w:val="%1."/>
      <w:lvlJc w:val="left"/>
      <w:pPr>
        <w:tabs>
          <w:tab w:val="left" w:pos="792"/>
        </w:tabs>
      </w:pPr>
      <w:rPr>
        <w:rFonts w:ascii="Times New Roman" w:eastAsia="Times New Roman" w:hAnsi="Times New Roman"/>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933755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79" w15:restartNumberingAfterBreak="0">
    <w:nsid w:val="49E47BED"/>
    <w:multiLevelType w:val="hybridMultilevel"/>
    <w:tmpl w:val="DDC09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A961162"/>
    <w:multiLevelType w:val="hybridMultilevel"/>
    <w:tmpl w:val="9D4A8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B1F23E9"/>
    <w:multiLevelType w:val="hybridMultilevel"/>
    <w:tmpl w:val="2A30F6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BB47F79"/>
    <w:multiLevelType w:val="hybridMultilevel"/>
    <w:tmpl w:val="4A0618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4BBE04E3"/>
    <w:multiLevelType w:val="multilevel"/>
    <w:tmpl w:val="65E8D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15:restartNumberingAfterBreak="0">
    <w:nsid w:val="4BE2672A"/>
    <w:multiLevelType w:val="hybridMultilevel"/>
    <w:tmpl w:val="A89CDC90"/>
    <w:lvl w:ilvl="0" w:tplc="4DDA2D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DA32875"/>
    <w:multiLevelType w:val="multilevel"/>
    <w:tmpl w:val="7B8E96B2"/>
    <w:lvl w:ilvl="0">
      <w:start w:val="1"/>
      <w:numFmt w:val="upperLetter"/>
      <w:lvlText w:val="%1."/>
      <w:lvlJc w:val="left"/>
      <w:pPr>
        <w:tabs>
          <w:tab w:val="left" w:pos="64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EC94B2F"/>
    <w:multiLevelType w:val="hybridMultilevel"/>
    <w:tmpl w:val="0D189AC4"/>
    <w:lvl w:ilvl="0" w:tplc="3EFE214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F90171B"/>
    <w:multiLevelType w:val="hybridMultilevel"/>
    <w:tmpl w:val="24B24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924717"/>
    <w:multiLevelType w:val="hybridMultilevel"/>
    <w:tmpl w:val="24040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F93750F"/>
    <w:multiLevelType w:val="hybridMultilevel"/>
    <w:tmpl w:val="B7B4E83A"/>
    <w:lvl w:ilvl="0" w:tplc="CB725960">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0" w15:restartNumberingAfterBreak="0">
    <w:nsid w:val="50B032E7"/>
    <w:multiLevelType w:val="hybridMultilevel"/>
    <w:tmpl w:val="F25A1AE2"/>
    <w:lvl w:ilvl="0" w:tplc="E222F1D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0E3493B"/>
    <w:multiLevelType w:val="hybridMultilevel"/>
    <w:tmpl w:val="27DE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D92C1E"/>
    <w:multiLevelType w:val="hybridMultilevel"/>
    <w:tmpl w:val="B5B453E4"/>
    <w:lvl w:ilvl="0" w:tplc="04090013">
      <w:start w:val="1"/>
      <w:numFmt w:val="upperRoman"/>
      <w:lvlText w:val="%1."/>
      <w:lvlJc w:val="righ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2F4314E"/>
    <w:multiLevelType w:val="hybridMultilevel"/>
    <w:tmpl w:val="2A16E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2F535EC"/>
    <w:multiLevelType w:val="hybridMultilevel"/>
    <w:tmpl w:val="A3324B32"/>
    <w:lvl w:ilvl="0" w:tplc="D0A865B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36765D8"/>
    <w:multiLevelType w:val="multilevel"/>
    <w:tmpl w:val="93CEB9BE"/>
    <w:lvl w:ilvl="0">
      <w:start w:val="1"/>
      <w:numFmt w:val="lowerLetter"/>
      <w:lvlText w:val="(%1)"/>
      <w:lvlJc w:val="left"/>
      <w:pPr>
        <w:tabs>
          <w:tab w:val="left" w:pos="360"/>
        </w:tabs>
      </w:pPr>
      <w:rPr>
        <w:rFonts w:ascii="Times New Roman" w:eastAsia="Times New Roman" w:hAnsi="Times New Roman"/>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40E5DD8"/>
    <w:multiLevelType w:val="hybridMultilevel"/>
    <w:tmpl w:val="F59C22E8"/>
    <w:lvl w:ilvl="0" w:tplc="87C8831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4127ED1"/>
    <w:multiLevelType w:val="hybridMultilevel"/>
    <w:tmpl w:val="36246F48"/>
    <w:lvl w:ilvl="0" w:tplc="9398BC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54574CB"/>
    <w:multiLevelType w:val="hybridMultilevel"/>
    <w:tmpl w:val="19820F7C"/>
    <w:lvl w:ilvl="0" w:tplc="796CAAAA">
      <w:start w:val="1"/>
      <w:numFmt w:val="lowerLetter"/>
      <w:lvlText w:val="%1)"/>
      <w:lvlJc w:val="left"/>
      <w:pPr>
        <w:ind w:left="720" w:hanging="360"/>
      </w:pPr>
    </w:lvl>
    <w:lvl w:ilvl="1" w:tplc="D4A2FA50">
      <w:start w:val="1"/>
      <w:numFmt w:val="lowerLetter"/>
      <w:lvlText w:val="%2."/>
      <w:lvlJc w:val="left"/>
      <w:pPr>
        <w:ind w:left="1440" w:hanging="360"/>
      </w:pPr>
    </w:lvl>
    <w:lvl w:ilvl="2" w:tplc="5B64761E" w:tentative="1">
      <w:start w:val="1"/>
      <w:numFmt w:val="lowerRoman"/>
      <w:lvlText w:val="%3."/>
      <w:lvlJc w:val="right"/>
      <w:pPr>
        <w:ind w:left="2160" w:hanging="180"/>
      </w:pPr>
    </w:lvl>
    <w:lvl w:ilvl="3" w:tplc="FBE8940C" w:tentative="1">
      <w:start w:val="1"/>
      <w:numFmt w:val="decimal"/>
      <w:lvlText w:val="%4."/>
      <w:lvlJc w:val="left"/>
      <w:pPr>
        <w:ind w:left="2880" w:hanging="360"/>
      </w:pPr>
    </w:lvl>
    <w:lvl w:ilvl="4" w:tplc="33A4A85C" w:tentative="1">
      <w:start w:val="1"/>
      <w:numFmt w:val="lowerLetter"/>
      <w:lvlText w:val="%5."/>
      <w:lvlJc w:val="left"/>
      <w:pPr>
        <w:ind w:left="3600" w:hanging="360"/>
      </w:pPr>
    </w:lvl>
    <w:lvl w:ilvl="5" w:tplc="6F8A619E" w:tentative="1">
      <w:start w:val="1"/>
      <w:numFmt w:val="lowerRoman"/>
      <w:lvlText w:val="%6."/>
      <w:lvlJc w:val="right"/>
      <w:pPr>
        <w:ind w:left="4320" w:hanging="180"/>
      </w:pPr>
    </w:lvl>
    <w:lvl w:ilvl="6" w:tplc="6DCE0BDA" w:tentative="1">
      <w:start w:val="1"/>
      <w:numFmt w:val="decimal"/>
      <w:lvlText w:val="%7."/>
      <w:lvlJc w:val="left"/>
      <w:pPr>
        <w:ind w:left="5040" w:hanging="360"/>
      </w:pPr>
    </w:lvl>
    <w:lvl w:ilvl="7" w:tplc="1BDE8010" w:tentative="1">
      <w:start w:val="1"/>
      <w:numFmt w:val="lowerLetter"/>
      <w:lvlText w:val="%8."/>
      <w:lvlJc w:val="left"/>
      <w:pPr>
        <w:ind w:left="5760" w:hanging="360"/>
      </w:pPr>
    </w:lvl>
    <w:lvl w:ilvl="8" w:tplc="895C306A" w:tentative="1">
      <w:start w:val="1"/>
      <w:numFmt w:val="lowerRoman"/>
      <w:lvlText w:val="%9."/>
      <w:lvlJc w:val="right"/>
      <w:pPr>
        <w:ind w:left="6480" w:hanging="180"/>
      </w:pPr>
    </w:lvl>
  </w:abstractNum>
  <w:abstractNum w:abstractNumId="99" w15:restartNumberingAfterBreak="0">
    <w:nsid w:val="56AB1FD7"/>
    <w:multiLevelType w:val="hybridMultilevel"/>
    <w:tmpl w:val="A31CF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76802EF"/>
    <w:multiLevelType w:val="hybridMultilevel"/>
    <w:tmpl w:val="56AA127C"/>
    <w:lvl w:ilvl="0" w:tplc="CB72596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57B90C74"/>
    <w:multiLevelType w:val="hybridMultilevel"/>
    <w:tmpl w:val="C8889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83662AC"/>
    <w:multiLevelType w:val="multilevel"/>
    <w:tmpl w:val="42D2FA00"/>
    <w:lvl w:ilvl="0">
      <w:start w:val="1"/>
      <w:numFmt w:val="decimal"/>
      <w:lvlText w:val="%1."/>
      <w:lvlJc w:val="left"/>
      <w:pPr>
        <w:tabs>
          <w:tab w:val="left" w:pos="864"/>
        </w:tabs>
      </w:pPr>
      <w:rPr>
        <w:rFonts w:ascii="Times New Roman" w:eastAsia="Times New Roman" w:hAnsi="Times New Roman"/>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88707B4"/>
    <w:multiLevelType w:val="multilevel"/>
    <w:tmpl w:val="5A6C7854"/>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9D450B0"/>
    <w:multiLevelType w:val="hybridMultilevel"/>
    <w:tmpl w:val="1A92A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A4D7FF7"/>
    <w:multiLevelType w:val="multilevel"/>
    <w:tmpl w:val="FF98F028"/>
    <w:lvl w:ilvl="0">
      <w:start w:val="2"/>
      <w:numFmt w:val="upperLetter"/>
      <w:lvlText w:val="%1."/>
      <w:lvlJc w:val="left"/>
      <w:pPr>
        <w:tabs>
          <w:tab w:val="left" w:pos="64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A5820B9"/>
    <w:multiLevelType w:val="hybridMultilevel"/>
    <w:tmpl w:val="01904A1A"/>
    <w:lvl w:ilvl="0" w:tplc="FFFFFFF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B03468D"/>
    <w:multiLevelType w:val="multilevel"/>
    <w:tmpl w:val="9E967A02"/>
    <w:lvl w:ilvl="0">
      <w:start w:val="1"/>
      <w:numFmt w:val="decimal"/>
      <w:lvlText w:val="%1."/>
      <w:lvlJc w:val="left"/>
      <w:pPr>
        <w:tabs>
          <w:tab w:val="left" w:pos="360"/>
        </w:tabs>
      </w:pPr>
      <w:rPr>
        <w:rFonts w:ascii="Times New Roman" w:eastAsia="Times New Roman" w:hAnsi="Times New Roman"/>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B8F5993"/>
    <w:multiLevelType w:val="hybridMultilevel"/>
    <w:tmpl w:val="4104B7EA"/>
    <w:lvl w:ilvl="0" w:tplc="409E7504">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5E162D6F"/>
    <w:multiLevelType w:val="multilevel"/>
    <w:tmpl w:val="89DC57E8"/>
    <w:lvl w:ilvl="0">
      <w:start w:val="1"/>
      <w:numFmt w:val="decimal"/>
      <w:lvlText w:val="%1."/>
      <w:lvlJc w:val="left"/>
      <w:pPr>
        <w:tabs>
          <w:tab w:val="left" w:pos="864"/>
        </w:tabs>
      </w:pPr>
      <w:rPr>
        <w:rFonts w:ascii="Times New Roman" w:eastAsia="Times New Roman" w:hAnsi="Times New Roman"/>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E232AD9"/>
    <w:multiLevelType w:val="hybridMultilevel"/>
    <w:tmpl w:val="18F48D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5E4A0458"/>
    <w:multiLevelType w:val="hybridMultilevel"/>
    <w:tmpl w:val="CB60D71E"/>
    <w:lvl w:ilvl="0" w:tplc="B20E5B8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5EE427AE"/>
    <w:multiLevelType w:val="multilevel"/>
    <w:tmpl w:val="F47834FA"/>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1652435"/>
    <w:multiLevelType w:val="multilevel"/>
    <w:tmpl w:val="759A0316"/>
    <w:lvl w:ilvl="0">
      <w:start w:val="1"/>
      <w:numFmt w:val="upperLetter"/>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228647F"/>
    <w:multiLevelType w:val="hybridMultilevel"/>
    <w:tmpl w:val="8864F656"/>
    <w:lvl w:ilvl="0" w:tplc="56A45A22">
      <w:start w:val="1"/>
      <w:numFmt w:val="lowerLetter"/>
      <w:lvlText w:val="%1)"/>
      <w:lvlJc w:val="left"/>
      <w:pPr>
        <w:ind w:left="720" w:hanging="360"/>
      </w:pPr>
    </w:lvl>
    <w:lvl w:ilvl="1" w:tplc="56C4F158">
      <w:start w:val="1"/>
      <w:numFmt w:val="decimal"/>
      <w:lvlText w:val="%2."/>
      <w:lvlJc w:val="left"/>
      <w:pPr>
        <w:ind w:left="1440" w:hanging="360"/>
      </w:pPr>
    </w:lvl>
    <w:lvl w:ilvl="2" w:tplc="4A96D146" w:tentative="1">
      <w:start w:val="1"/>
      <w:numFmt w:val="lowerRoman"/>
      <w:lvlText w:val="%3."/>
      <w:lvlJc w:val="right"/>
      <w:pPr>
        <w:ind w:left="2160" w:hanging="180"/>
      </w:pPr>
    </w:lvl>
    <w:lvl w:ilvl="3" w:tplc="085E76BA" w:tentative="1">
      <w:start w:val="1"/>
      <w:numFmt w:val="decimal"/>
      <w:lvlText w:val="%4."/>
      <w:lvlJc w:val="left"/>
      <w:pPr>
        <w:ind w:left="2880" w:hanging="360"/>
      </w:pPr>
    </w:lvl>
    <w:lvl w:ilvl="4" w:tplc="302C7836" w:tentative="1">
      <w:start w:val="1"/>
      <w:numFmt w:val="lowerLetter"/>
      <w:lvlText w:val="%5."/>
      <w:lvlJc w:val="left"/>
      <w:pPr>
        <w:ind w:left="3600" w:hanging="360"/>
      </w:pPr>
    </w:lvl>
    <w:lvl w:ilvl="5" w:tplc="24D2EBAC" w:tentative="1">
      <w:start w:val="1"/>
      <w:numFmt w:val="lowerRoman"/>
      <w:lvlText w:val="%6."/>
      <w:lvlJc w:val="right"/>
      <w:pPr>
        <w:ind w:left="4320" w:hanging="180"/>
      </w:pPr>
    </w:lvl>
    <w:lvl w:ilvl="6" w:tplc="B742D974" w:tentative="1">
      <w:start w:val="1"/>
      <w:numFmt w:val="decimal"/>
      <w:lvlText w:val="%7."/>
      <w:lvlJc w:val="left"/>
      <w:pPr>
        <w:ind w:left="5040" w:hanging="360"/>
      </w:pPr>
    </w:lvl>
    <w:lvl w:ilvl="7" w:tplc="D66ED684" w:tentative="1">
      <w:start w:val="1"/>
      <w:numFmt w:val="lowerLetter"/>
      <w:lvlText w:val="%8."/>
      <w:lvlJc w:val="left"/>
      <w:pPr>
        <w:ind w:left="5760" w:hanging="360"/>
      </w:pPr>
    </w:lvl>
    <w:lvl w:ilvl="8" w:tplc="12F473B4" w:tentative="1">
      <w:start w:val="1"/>
      <w:numFmt w:val="lowerRoman"/>
      <w:lvlText w:val="%9."/>
      <w:lvlJc w:val="right"/>
      <w:pPr>
        <w:ind w:left="6480" w:hanging="180"/>
      </w:pPr>
    </w:lvl>
  </w:abstractNum>
  <w:abstractNum w:abstractNumId="115" w15:restartNumberingAfterBreak="0">
    <w:nsid w:val="62FC1F29"/>
    <w:multiLevelType w:val="multilevel"/>
    <w:tmpl w:val="59F6C434"/>
    <w:lvl w:ilvl="0">
      <w:start w:val="1"/>
      <w:numFmt w:val="upp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3184D44"/>
    <w:multiLevelType w:val="hybridMultilevel"/>
    <w:tmpl w:val="69EE71B2"/>
    <w:lvl w:ilvl="0" w:tplc="3C260CAC">
      <w:start w:val="1"/>
      <w:numFmt w:val="decimal"/>
      <w:lvlText w:val="%1."/>
      <w:lvlJc w:val="left"/>
      <w:pPr>
        <w:ind w:left="1080" w:hanging="360"/>
      </w:pPr>
    </w:lvl>
    <w:lvl w:ilvl="1" w:tplc="970046CE">
      <w:start w:val="1"/>
      <w:numFmt w:val="lowerLetter"/>
      <w:lvlText w:val="%2."/>
      <w:lvlJc w:val="left"/>
      <w:pPr>
        <w:ind w:left="1800" w:hanging="360"/>
      </w:pPr>
    </w:lvl>
    <w:lvl w:ilvl="2" w:tplc="9A30D420" w:tentative="1">
      <w:start w:val="1"/>
      <w:numFmt w:val="lowerRoman"/>
      <w:lvlText w:val="%3."/>
      <w:lvlJc w:val="right"/>
      <w:pPr>
        <w:ind w:left="2520" w:hanging="180"/>
      </w:pPr>
    </w:lvl>
    <w:lvl w:ilvl="3" w:tplc="4C282B9C" w:tentative="1">
      <w:start w:val="1"/>
      <w:numFmt w:val="decimal"/>
      <w:lvlText w:val="%4."/>
      <w:lvlJc w:val="left"/>
      <w:pPr>
        <w:ind w:left="3240" w:hanging="360"/>
      </w:pPr>
    </w:lvl>
    <w:lvl w:ilvl="4" w:tplc="89A875A4" w:tentative="1">
      <w:start w:val="1"/>
      <w:numFmt w:val="lowerLetter"/>
      <w:lvlText w:val="%5."/>
      <w:lvlJc w:val="left"/>
      <w:pPr>
        <w:ind w:left="3960" w:hanging="360"/>
      </w:pPr>
    </w:lvl>
    <w:lvl w:ilvl="5" w:tplc="960CF8BC" w:tentative="1">
      <w:start w:val="1"/>
      <w:numFmt w:val="lowerRoman"/>
      <w:lvlText w:val="%6."/>
      <w:lvlJc w:val="right"/>
      <w:pPr>
        <w:ind w:left="4680" w:hanging="180"/>
      </w:pPr>
    </w:lvl>
    <w:lvl w:ilvl="6" w:tplc="CF32348C" w:tentative="1">
      <w:start w:val="1"/>
      <w:numFmt w:val="decimal"/>
      <w:lvlText w:val="%7."/>
      <w:lvlJc w:val="left"/>
      <w:pPr>
        <w:ind w:left="5400" w:hanging="360"/>
      </w:pPr>
    </w:lvl>
    <w:lvl w:ilvl="7" w:tplc="3EE8B038" w:tentative="1">
      <w:start w:val="1"/>
      <w:numFmt w:val="lowerLetter"/>
      <w:lvlText w:val="%8."/>
      <w:lvlJc w:val="left"/>
      <w:pPr>
        <w:ind w:left="6120" w:hanging="360"/>
      </w:pPr>
    </w:lvl>
    <w:lvl w:ilvl="8" w:tplc="C7440FCE" w:tentative="1">
      <w:start w:val="1"/>
      <w:numFmt w:val="lowerRoman"/>
      <w:lvlText w:val="%9."/>
      <w:lvlJc w:val="right"/>
      <w:pPr>
        <w:ind w:left="6840" w:hanging="180"/>
      </w:pPr>
    </w:lvl>
  </w:abstractNum>
  <w:abstractNum w:abstractNumId="117" w15:restartNumberingAfterBreak="0">
    <w:nsid w:val="63730A84"/>
    <w:multiLevelType w:val="hybridMultilevel"/>
    <w:tmpl w:val="56241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3E34F81"/>
    <w:multiLevelType w:val="hybridMultilevel"/>
    <w:tmpl w:val="77A213C4"/>
    <w:lvl w:ilvl="0" w:tplc="9A424DD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4E72BFB"/>
    <w:multiLevelType w:val="multilevel"/>
    <w:tmpl w:val="0AB41D24"/>
    <w:lvl w:ilvl="0">
      <w:start w:val="1"/>
      <w:numFmt w:val="decimal"/>
      <w:lvlText w:val="%1."/>
      <w:lvlJc w:val="left"/>
      <w:pPr>
        <w:tabs>
          <w:tab w:val="left" w:pos="360"/>
        </w:tabs>
      </w:pPr>
      <w:rPr>
        <w:rFonts w:ascii="Times New Roman" w:eastAsia="Times New Roman" w:hAnsi="Times New Roman"/>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5204129"/>
    <w:multiLevelType w:val="hybridMultilevel"/>
    <w:tmpl w:val="26201B1E"/>
    <w:lvl w:ilvl="0" w:tplc="E38C111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52A44A1"/>
    <w:multiLevelType w:val="hybridMultilevel"/>
    <w:tmpl w:val="1E3C3268"/>
    <w:lvl w:ilvl="0" w:tplc="6F96647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5AA7089"/>
    <w:multiLevelType w:val="hybridMultilevel"/>
    <w:tmpl w:val="031A7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6592C83"/>
    <w:multiLevelType w:val="hybridMultilevel"/>
    <w:tmpl w:val="A832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6CB3B36"/>
    <w:multiLevelType w:val="multilevel"/>
    <w:tmpl w:val="9238D656"/>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7062222"/>
    <w:multiLevelType w:val="hybridMultilevel"/>
    <w:tmpl w:val="E0060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73409D7"/>
    <w:multiLevelType w:val="hybridMultilevel"/>
    <w:tmpl w:val="A0B25FA8"/>
    <w:lvl w:ilvl="0" w:tplc="3096455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7365001"/>
    <w:multiLevelType w:val="multilevel"/>
    <w:tmpl w:val="09F09814"/>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7671D4B"/>
    <w:multiLevelType w:val="hybridMultilevel"/>
    <w:tmpl w:val="5BD09F50"/>
    <w:lvl w:ilvl="0" w:tplc="B45CDB3C">
      <w:start w:val="1"/>
      <w:numFmt w:val="lowerLetter"/>
      <w:lvlText w:val="%1)"/>
      <w:lvlJc w:val="left"/>
      <w:pPr>
        <w:ind w:left="720" w:hanging="360"/>
      </w:pPr>
    </w:lvl>
    <w:lvl w:ilvl="1" w:tplc="14E60BE4">
      <w:start w:val="1"/>
      <w:numFmt w:val="decimal"/>
      <w:lvlText w:val="%2."/>
      <w:lvlJc w:val="left"/>
      <w:pPr>
        <w:ind w:left="1440" w:hanging="360"/>
      </w:pPr>
    </w:lvl>
    <w:lvl w:ilvl="2" w:tplc="8E108CA6">
      <w:start w:val="1"/>
      <w:numFmt w:val="lowerRoman"/>
      <w:lvlText w:val="%3."/>
      <w:lvlJc w:val="right"/>
      <w:pPr>
        <w:ind w:left="2160" w:hanging="180"/>
      </w:pPr>
    </w:lvl>
    <w:lvl w:ilvl="3" w:tplc="27AC70D8" w:tentative="1">
      <w:start w:val="1"/>
      <w:numFmt w:val="decimal"/>
      <w:lvlText w:val="%4."/>
      <w:lvlJc w:val="left"/>
      <w:pPr>
        <w:ind w:left="2880" w:hanging="360"/>
      </w:pPr>
    </w:lvl>
    <w:lvl w:ilvl="4" w:tplc="919221EE" w:tentative="1">
      <w:start w:val="1"/>
      <w:numFmt w:val="lowerLetter"/>
      <w:lvlText w:val="%5."/>
      <w:lvlJc w:val="left"/>
      <w:pPr>
        <w:ind w:left="3600" w:hanging="360"/>
      </w:pPr>
    </w:lvl>
    <w:lvl w:ilvl="5" w:tplc="14A8D14C" w:tentative="1">
      <w:start w:val="1"/>
      <w:numFmt w:val="lowerRoman"/>
      <w:lvlText w:val="%6."/>
      <w:lvlJc w:val="right"/>
      <w:pPr>
        <w:ind w:left="4320" w:hanging="180"/>
      </w:pPr>
    </w:lvl>
    <w:lvl w:ilvl="6" w:tplc="EBFE2302" w:tentative="1">
      <w:start w:val="1"/>
      <w:numFmt w:val="decimal"/>
      <w:lvlText w:val="%7."/>
      <w:lvlJc w:val="left"/>
      <w:pPr>
        <w:ind w:left="5040" w:hanging="360"/>
      </w:pPr>
    </w:lvl>
    <w:lvl w:ilvl="7" w:tplc="8EDAD4DE" w:tentative="1">
      <w:start w:val="1"/>
      <w:numFmt w:val="lowerLetter"/>
      <w:lvlText w:val="%8."/>
      <w:lvlJc w:val="left"/>
      <w:pPr>
        <w:ind w:left="5760" w:hanging="360"/>
      </w:pPr>
    </w:lvl>
    <w:lvl w:ilvl="8" w:tplc="DEB44EF6" w:tentative="1">
      <w:start w:val="1"/>
      <w:numFmt w:val="lowerRoman"/>
      <w:lvlText w:val="%9."/>
      <w:lvlJc w:val="right"/>
      <w:pPr>
        <w:ind w:left="6480" w:hanging="180"/>
      </w:pPr>
    </w:lvl>
  </w:abstractNum>
  <w:abstractNum w:abstractNumId="129" w15:restartNumberingAfterBreak="0">
    <w:nsid w:val="67673640"/>
    <w:multiLevelType w:val="multilevel"/>
    <w:tmpl w:val="FADC50A8"/>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78E0B6B"/>
    <w:multiLevelType w:val="multilevel"/>
    <w:tmpl w:val="8122901C"/>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7CB1815"/>
    <w:multiLevelType w:val="hybridMultilevel"/>
    <w:tmpl w:val="EAD8FD02"/>
    <w:lvl w:ilvl="0" w:tplc="B9FA5B6A">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7F33379"/>
    <w:multiLevelType w:val="multilevel"/>
    <w:tmpl w:val="E3FA69C8"/>
    <w:lvl w:ilvl="0">
      <w:start w:val="4"/>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9913FAC"/>
    <w:multiLevelType w:val="multilevel"/>
    <w:tmpl w:val="F6B419D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9B51D93"/>
    <w:multiLevelType w:val="hybridMultilevel"/>
    <w:tmpl w:val="8E888960"/>
    <w:lvl w:ilvl="0" w:tplc="B12C8F1A">
      <w:start w:val="12"/>
      <w:numFmt w:val="decimal"/>
      <w:lvlText w:val="%1."/>
      <w:lvlJc w:val="left"/>
      <w:pPr>
        <w:ind w:left="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EBC9EDE">
      <w:start w:val="1"/>
      <w:numFmt w:val="lowerLetter"/>
      <w:lvlText w:val="%2"/>
      <w:lvlJc w:val="left"/>
      <w:pPr>
        <w:ind w:left="10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6528BB2">
      <w:start w:val="1"/>
      <w:numFmt w:val="lowerRoman"/>
      <w:lvlText w:val="%3"/>
      <w:lvlJc w:val="left"/>
      <w:pPr>
        <w:ind w:left="18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094A10E">
      <w:start w:val="1"/>
      <w:numFmt w:val="decimal"/>
      <w:lvlText w:val="%4"/>
      <w:lvlJc w:val="left"/>
      <w:pPr>
        <w:ind w:left="25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EDE2B4E">
      <w:start w:val="1"/>
      <w:numFmt w:val="lowerLetter"/>
      <w:lvlText w:val="%5"/>
      <w:lvlJc w:val="left"/>
      <w:pPr>
        <w:ind w:left="3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6B0C224">
      <w:start w:val="1"/>
      <w:numFmt w:val="lowerRoman"/>
      <w:lvlText w:val="%6"/>
      <w:lvlJc w:val="left"/>
      <w:pPr>
        <w:ind w:left="39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16273DA">
      <w:start w:val="1"/>
      <w:numFmt w:val="decimal"/>
      <w:lvlText w:val="%7"/>
      <w:lvlJc w:val="left"/>
      <w:pPr>
        <w:ind w:left="46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9483550">
      <w:start w:val="1"/>
      <w:numFmt w:val="lowerLetter"/>
      <w:lvlText w:val="%8"/>
      <w:lvlJc w:val="left"/>
      <w:pPr>
        <w:ind w:left="54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102423E">
      <w:start w:val="1"/>
      <w:numFmt w:val="lowerRoman"/>
      <w:lvlText w:val="%9"/>
      <w:lvlJc w:val="left"/>
      <w:pPr>
        <w:ind w:left="61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5" w15:restartNumberingAfterBreak="0">
    <w:nsid w:val="6A273534"/>
    <w:multiLevelType w:val="hybridMultilevel"/>
    <w:tmpl w:val="A904A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BDB6CF2"/>
    <w:multiLevelType w:val="hybridMultilevel"/>
    <w:tmpl w:val="97FACC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D27308E"/>
    <w:multiLevelType w:val="hybridMultilevel"/>
    <w:tmpl w:val="F1A4E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E2D07DC"/>
    <w:multiLevelType w:val="hybridMultilevel"/>
    <w:tmpl w:val="817E3426"/>
    <w:lvl w:ilvl="0" w:tplc="0804BF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ECD0BC5"/>
    <w:multiLevelType w:val="multilevel"/>
    <w:tmpl w:val="8B0CEB32"/>
    <w:lvl w:ilvl="0">
      <w:start w:val="1"/>
      <w:numFmt w:val="decimal"/>
      <w:lvlText w:val="%1."/>
      <w:lvlJc w:val="left"/>
      <w:pPr>
        <w:tabs>
          <w:tab w:val="left" w:pos="792"/>
        </w:tabs>
      </w:pPr>
      <w:rPr>
        <w:rFonts w:ascii="Times New Roman" w:eastAsia="Times New Roman" w:hAnsi="Times New Roman"/>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F5F7192"/>
    <w:multiLevelType w:val="multilevel"/>
    <w:tmpl w:val="9B48B996"/>
    <w:lvl w:ilvl="0">
      <w:start w:val="1"/>
      <w:numFmt w:val="decimal"/>
      <w:lvlText w:val="%1."/>
      <w:lvlJc w:val="left"/>
      <w:pPr>
        <w:tabs>
          <w:tab w:val="left" w:pos="93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FB377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6FF43BD8"/>
    <w:multiLevelType w:val="multilevel"/>
    <w:tmpl w:val="F586CEFC"/>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0874B7F"/>
    <w:multiLevelType w:val="multilevel"/>
    <w:tmpl w:val="156C4BD4"/>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0E95CAF"/>
    <w:multiLevelType w:val="multilevel"/>
    <w:tmpl w:val="E05CBABC"/>
    <w:lvl w:ilvl="0">
      <w:start w:val="1"/>
      <w:numFmt w:val="decimal"/>
      <w:lvlText w:val="%1."/>
      <w:lvlJc w:val="left"/>
      <w:pPr>
        <w:tabs>
          <w:tab w:val="left" w:pos="792"/>
        </w:tabs>
      </w:pPr>
      <w:rPr>
        <w:rFonts w:ascii="Times New Roman" w:eastAsia="Times New Roman" w:hAnsi="Times New Roman"/>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1201DE5"/>
    <w:multiLevelType w:val="hybridMultilevel"/>
    <w:tmpl w:val="ADD087AA"/>
    <w:lvl w:ilvl="0" w:tplc="FF6A40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1941C47"/>
    <w:multiLevelType w:val="multilevel"/>
    <w:tmpl w:val="175C94A4"/>
    <w:lvl w:ilvl="0">
      <w:start w:val="1"/>
      <w:numFmt w:val="decimal"/>
      <w:lvlText w:val="(%1)"/>
      <w:lvlJc w:val="left"/>
      <w:pPr>
        <w:tabs>
          <w:tab w:val="left" w:pos="648"/>
        </w:tabs>
      </w:pPr>
      <w:rPr>
        <w:rFonts w:ascii="Times New Roman" w:eastAsia="Times New Roman" w:hAnsi="Times New Roman"/>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1A75CA4"/>
    <w:multiLevelType w:val="multilevel"/>
    <w:tmpl w:val="955EA8BC"/>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23B1672"/>
    <w:multiLevelType w:val="multilevel"/>
    <w:tmpl w:val="9F30683A"/>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2F0281A"/>
    <w:multiLevelType w:val="hybridMultilevel"/>
    <w:tmpl w:val="C728E45E"/>
    <w:lvl w:ilvl="0" w:tplc="1EF602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41B0A96"/>
    <w:multiLevelType w:val="hybridMultilevel"/>
    <w:tmpl w:val="2F787284"/>
    <w:lvl w:ilvl="0" w:tplc="084CC4A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4C16835"/>
    <w:multiLevelType w:val="hybridMultilevel"/>
    <w:tmpl w:val="02EE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5982976"/>
    <w:multiLevelType w:val="hybridMultilevel"/>
    <w:tmpl w:val="5790BFD4"/>
    <w:lvl w:ilvl="0" w:tplc="D8EA2CA4">
      <w:start w:val="1"/>
      <w:numFmt w:val="decimal"/>
      <w:lvlText w:val="%1."/>
      <w:lvlJc w:val="left"/>
      <w:pPr>
        <w:ind w:left="1440" w:hanging="360"/>
      </w:pPr>
    </w:lvl>
    <w:lvl w:ilvl="1" w:tplc="05F25B5C">
      <w:start w:val="1"/>
      <w:numFmt w:val="lowerLetter"/>
      <w:lvlText w:val="%2."/>
      <w:lvlJc w:val="left"/>
      <w:pPr>
        <w:ind w:left="1440" w:hanging="360"/>
      </w:pPr>
    </w:lvl>
    <w:lvl w:ilvl="2" w:tplc="6B2AC994" w:tentative="1">
      <w:start w:val="1"/>
      <w:numFmt w:val="lowerRoman"/>
      <w:lvlText w:val="%3."/>
      <w:lvlJc w:val="right"/>
      <w:pPr>
        <w:ind w:left="2160" w:hanging="180"/>
      </w:pPr>
    </w:lvl>
    <w:lvl w:ilvl="3" w:tplc="C77A053C" w:tentative="1">
      <w:start w:val="1"/>
      <w:numFmt w:val="decimal"/>
      <w:lvlText w:val="%4."/>
      <w:lvlJc w:val="left"/>
      <w:pPr>
        <w:ind w:left="2880" w:hanging="360"/>
      </w:pPr>
    </w:lvl>
    <w:lvl w:ilvl="4" w:tplc="0BBA608C" w:tentative="1">
      <w:start w:val="1"/>
      <w:numFmt w:val="lowerLetter"/>
      <w:lvlText w:val="%5."/>
      <w:lvlJc w:val="left"/>
      <w:pPr>
        <w:ind w:left="3600" w:hanging="360"/>
      </w:pPr>
    </w:lvl>
    <w:lvl w:ilvl="5" w:tplc="4B58F386" w:tentative="1">
      <w:start w:val="1"/>
      <w:numFmt w:val="lowerRoman"/>
      <w:lvlText w:val="%6."/>
      <w:lvlJc w:val="right"/>
      <w:pPr>
        <w:ind w:left="4320" w:hanging="180"/>
      </w:pPr>
    </w:lvl>
    <w:lvl w:ilvl="6" w:tplc="21AC0C44" w:tentative="1">
      <w:start w:val="1"/>
      <w:numFmt w:val="decimal"/>
      <w:lvlText w:val="%7."/>
      <w:lvlJc w:val="left"/>
      <w:pPr>
        <w:ind w:left="5040" w:hanging="360"/>
      </w:pPr>
    </w:lvl>
    <w:lvl w:ilvl="7" w:tplc="E90AEC54" w:tentative="1">
      <w:start w:val="1"/>
      <w:numFmt w:val="lowerLetter"/>
      <w:lvlText w:val="%8."/>
      <w:lvlJc w:val="left"/>
      <w:pPr>
        <w:ind w:left="5760" w:hanging="360"/>
      </w:pPr>
    </w:lvl>
    <w:lvl w:ilvl="8" w:tplc="D0D87828" w:tentative="1">
      <w:start w:val="1"/>
      <w:numFmt w:val="lowerRoman"/>
      <w:lvlText w:val="%9."/>
      <w:lvlJc w:val="right"/>
      <w:pPr>
        <w:ind w:left="6480" w:hanging="180"/>
      </w:pPr>
    </w:lvl>
  </w:abstractNum>
  <w:abstractNum w:abstractNumId="153" w15:restartNumberingAfterBreak="0">
    <w:nsid w:val="76306D2F"/>
    <w:multiLevelType w:val="hybridMultilevel"/>
    <w:tmpl w:val="8486A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68C1FD8"/>
    <w:multiLevelType w:val="hybridMultilevel"/>
    <w:tmpl w:val="7C044578"/>
    <w:lvl w:ilvl="0" w:tplc="3EFE2140">
      <w:start w:val="1"/>
      <w:numFmt w:val="lowerLetter"/>
      <w:lvlText w:val="(%1)"/>
      <w:lvlJc w:val="left"/>
      <w:pPr>
        <w:ind w:left="1080" w:hanging="720"/>
      </w:pPr>
      <w:rPr>
        <w:rFonts w:hint="default"/>
      </w:rPr>
    </w:lvl>
    <w:lvl w:ilvl="1" w:tplc="5E788CE6">
      <w:start w:val="1"/>
      <w:numFmt w:val="decimal"/>
      <w:lvlText w:val="(%2)"/>
      <w:lvlJc w:val="left"/>
      <w:pPr>
        <w:ind w:left="1800" w:hanging="720"/>
      </w:pPr>
      <w:rPr>
        <w:rFonts w:hint="default"/>
      </w:rPr>
    </w:lvl>
    <w:lvl w:ilvl="2" w:tplc="7B74954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7B05C36"/>
    <w:multiLevelType w:val="hybridMultilevel"/>
    <w:tmpl w:val="A0F43412"/>
    <w:lvl w:ilvl="0" w:tplc="0409000F">
      <w:start w:val="1"/>
      <w:numFmt w:val="decimal"/>
      <w:lvlText w:val="%1."/>
      <w:lvlJc w:val="left"/>
      <w:pPr>
        <w:ind w:left="2391" w:hanging="360"/>
      </w:pPr>
    </w:lvl>
    <w:lvl w:ilvl="1" w:tplc="04090019" w:tentative="1">
      <w:start w:val="1"/>
      <w:numFmt w:val="lowerLetter"/>
      <w:lvlText w:val="%2."/>
      <w:lvlJc w:val="left"/>
      <w:pPr>
        <w:ind w:left="3111" w:hanging="360"/>
      </w:pPr>
    </w:lvl>
    <w:lvl w:ilvl="2" w:tplc="0409001B" w:tentative="1">
      <w:start w:val="1"/>
      <w:numFmt w:val="lowerRoman"/>
      <w:lvlText w:val="%3."/>
      <w:lvlJc w:val="right"/>
      <w:pPr>
        <w:ind w:left="3831" w:hanging="180"/>
      </w:pPr>
    </w:lvl>
    <w:lvl w:ilvl="3" w:tplc="0409000F" w:tentative="1">
      <w:start w:val="1"/>
      <w:numFmt w:val="decimal"/>
      <w:lvlText w:val="%4."/>
      <w:lvlJc w:val="left"/>
      <w:pPr>
        <w:ind w:left="4551" w:hanging="360"/>
      </w:pPr>
    </w:lvl>
    <w:lvl w:ilvl="4" w:tplc="04090019" w:tentative="1">
      <w:start w:val="1"/>
      <w:numFmt w:val="lowerLetter"/>
      <w:lvlText w:val="%5."/>
      <w:lvlJc w:val="left"/>
      <w:pPr>
        <w:ind w:left="5271" w:hanging="360"/>
      </w:pPr>
    </w:lvl>
    <w:lvl w:ilvl="5" w:tplc="0409001B" w:tentative="1">
      <w:start w:val="1"/>
      <w:numFmt w:val="lowerRoman"/>
      <w:lvlText w:val="%6."/>
      <w:lvlJc w:val="right"/>
      <w:pPr>
        <w:ind w:left="5991" w:hanging="180"/>
      </w:pPr>
    </w:lvl>
    <w:lvl w:ilvl="6" w:tplc="0409000F" w:tentative="1">
      <w:start w:val="1"/>
      <w:numFmt w:val="decimal"/>
      <w:lvlText w:val="%7."/>
      <w:lvlJc w:val="left"/>
      <w:pPr>
        <w:ind w:left="6711" w:hanging="360"/>
      </w:pPr>
    </w:lvl>
    <w:lvl w:ilvl="7" w:tplc="04090019" w:tentative="1">
      <w:start w:val="1"/>
      <w:numFmt w:val="lowerLetter"/>
      <w:lvlText w:val="%8."/>
      <w:lvlJc w:val="left"/>
      <w:pPr>
        <w:ind w:left="7431" w:hanging="360"/>
      </w:pPr>
    </w:lvl>
    <w:lvl w:ilvl="8" w:tplc="0409001B" w:tentative="1">
      <w:start w:val="1"/>
      <w:numFmt w:val="lowerRoman"/>
      <w:lvlText w:val="%9."/>
      <w:lvlJc w:val="right"/>
      <w:pPr>
        <w:ind w:left="8151" w:hanging="180"/>
      </w:pPr>
    </w:lvl>
  </w:abstractNum>
  <w:abstractNum w:abstractNumId="156" w15:restartNumberingAfterBreak="0">
    <w:nsid w:val="78716A83"/>
    <w:multiLevelType w:val="multilevel"/>
    <w:tmpl w:val="3ADC7972"/>
    <w:lvl w:ilvl="0">
      <w:start w:val="1"/>
      <w:numFmt w:val="upperRoman"/>
      <w:lvlText w:val="%1."/>
      <w:lvlJc w:val="left"/>
      <w:pPr>
        <w:tabs>
          <w:tab w:val="left" w:pos="720"/>
        </w:tabs>
      </w:pPr>
      <w:rPr>
        <w:rFonts w:ascii="Times New Roman" w:eastAsia="Times New Roman" w:hAnsi="Times New Roman"/>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8BA3828"/>
    <w:multiLevelType w:val="hybridMultilevel"/>
    <w:tmpl w:val="26088540"/>
    <w:lvl w:ilvl="0" w:tplc="493866D2">
      <w:start w:val="6"/>
      <w:numFmt w:val="decimal"/>
      <w:lvlText w:val="%1."/>
      <w:lvlJc w:val="left"/>
      <w:pPr>
        <w:ind w:left="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3B05400">
      <w:start w:val="2"/>
      <w:numFmt w:val="lowerLetter"/>
      <w:lvlText w:val="(%2)"/>
      <w:lvlJc w:val="left"/>
      <w:pPr>
        <w:ind w:left="37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D4541706">
      <w:start w:val="1"/>
      <w:numFmt w:val="lowerRoman"/>
      <w:lvlText w:val="%3"/>
      <w:lvlJc w:val="left"/>
      <w:pPr>
        <w:ind w:left="179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931AF12E">
      <w:start w:val="1"/>
      <w:numFmt w:val="decimal"/>
      <w:lvlText w:val="%4"/>
      <w:lvlJc w:val="left"/>
      <w:pPr>
        <w:ind w:left="251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FC8E90D8">
      <w:start w:val="1"/>
      <w:numFmt w:val="lowerLetter"/>
      <w:lvlText w:val="%5"/>
      <w:lvlJc w:val="left"/>
      <w:pPr>
        <w:ind w:left="323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A64B280">
      <w:start w:val="1"/>
      <w:numFmt w:val="lowerRoman"/>
      <w:lvlText w:val="%6"/>
      <w:lvlJc w:val="left"/>
      <w:pPr>
        <w:ind w:left="395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54C22430">
      <w:start w:val="1"/>
      <w:numFmt w:val="decimal"/>
      <w:lvlText w:val="%7"/>
      <w:lvlJc w:val="left"/>
      <w:pPr>
        <w:ind w:left="467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C4BA98AE">
      <w:start w:val="1"/>
      <w:numFmt w:val="lowerLetter"/>
      <w:lvlText w:val="%8"/>
      <w:lvlJc w:val="left"/>
      <w:pPr>
        <w:ind w:left="539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DE3C5900">
      <w:start w:val="1"/>
      <w:numFmt w:val="lowerRoman"/>
      <w:lvlText w:val="%9"/>
      <w:lvlJc w:val="left"/>
      <w:pPr>
        <w:ind w:left="611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58" w15:restartNumberingAfterBreak="0">
    <w:nsid w:val="790056B3"/>
    <w:multiLevelType w:val="multilevel"/>
    <w:tmpl w:val="CF129EFA"/>
    <w:lvl w:ilvl="0">
      <w:start w:val="1"/>
      <w:numFmt w:val="decimal"/>
      <w:lvlText w:val="%1."/>
      <w:lvlJc w:val="left"/>
      <w:pPr>
        <w:tabs>
          <w:tab w:val="left" w:pos="86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9A91368"/>
    <w:multiLevelType w:val="hybridMultilevel"/>
    <w:tmpl w:val="05B8B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9F62799"/>
    <w:multiLevelType w:val="multilevel"/>
    <w:tmpl w:val="84BE1456"/>
    <w:lvl w:ilvl="0">
      <w:start w:val="2"/>
      <w:numFmt w:val="upperRoman"/>
      <w:lvlText w:val="%1."/>
      <w:lvlJc w:val="left"/>
      <w:pPr>
        <w:tabs>
          <w:tab w:val="left" w:pos="57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AE877AF"/>
    <w:multiLevelType w:val="hybridMultilevel"/>
    <w:tmpl w:val="5DFA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B52448A"/>
    <w:multiLevelType w:val="multilevel"/>
    <w:tmpl w:val="6A944444"/>
    <w:lvl w:ilvl="0">
      <w:start w:val="11"/>
      <w:numFmt w:val="decimal"/>
      <w:lvlText w:val="%1."/>
      <w:lvlJc w:val="left"/>
      <w:pPr>
        <w:tabs>
          <w:tab w:val="left" w:pos="360"/>
        </w:tabs>
      </w:pPr>
      <w:rPr>
        <w:rFonts w:ascii="Times New Roman" w:eastAsia="Times New Roman" w:hAnsi="Times New Roman"/>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C82618C"/>
    <w:multiLevelType w:val="hybridMultilevel"/>
    <w:tmpl w:val="99389DF6"/>
    <w:lvl w:ilvl="0" w:tplc="E38C11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D515D56"/>
    <w:multiLevelType w:val="multilevel"/>
    <w:tmpl w:val="CC7E8FB4"/>
    <w:lvl w:ilvl="0">
      <w:start w:val="1"/>
      <w:numFmt w:val="upperLetter"/>
      <w:lvlText w:val="%1."/>
      <w:lvlJc w:val="left"/>
      <w:pPr>
        <w:tabs>
          <w:tab w:val="left" w:pos="64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EAE23C0"/>
    <w:multiLevelType w:val="multilevel"/>
    <w:tmpl w:val="53E4CACC"/>
    <w:lvl w:ilvl="0">
      <w:start w:val="1"/>
      <w:numFmt w:val="decimal"/>
      <w:lvlText w:val="%1."/>
      <w:lvlJc w:val="left"/>
      <w:pPr>
        <w:tabs>
          <w:tab w:val="left" w:pos="36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F867A9A"/>
    <w:multiLevelType w:val="hybridMultilevel"/>
    <w:tmpl w:val="57C495E2"/>
    <w:lvl w:ilvl="0" w:tplc="87C8831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FBD3C49"/>
    <w:multiLevelType w:val="multilevel"/>
    <w:tmpl w:val="08FCF406"/>
    <w:lvl w:ilvl="0">
      <w:start w:val="1"/>
      <w:numFmt w:val="upperLetter"/>
      <w:lvlText w:val="%1."/>
      <w:lvlJc w:val="left"/>
      <w:pPr>
        <w:tabs>
          <w:tab w:val="left" w:pos="576"/>
        </w:tabs>
      </w:pPr>
      <w:rPr>
        <w:rFonts w:ascii="Times New Roman" w:eastAsia="Times New Roman" w:hAnsi="Times New Roman"/>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9355019">
    <w:abstractNumId w:val="16"/>
  </w:num>
  <w:num w:numId="2" w16cid:durableId="1735662285">
    <w:abstractNumId w:val="106"/>
  </w:num>
  <w:num w:numId="3" w16cid:durableId="2036496299">
    <w:abstractNumId w:val="154"/>
  </w:num>
  <w:num w:numId="4" w16cid:durableId="432554697">
    <w:abstractNumId w:val="86"/>
  </w:num>
  <w:num w:numId="5" w16cid:durableId="1881435060">
    <w:abstractNumId w:val="46"/>
  </w:num>
  <w:num w:numId="6" w16cid:durableId="687558315">
    <w:abstractNumId w:val="69"/>
  </w:num>
  <w:num w:numId="7" w16cid:durableId="1937203309">
    <w:abstractNumId w:val="4"/>
  </w:num>
  <w:num w:numId="8" w16cid:durableId="1740588272">
    <w:abstractNumId w:val="136"/>
  </w:num>
  <w:num w:numId="9" w16cid:durableId="196428402">
    <w:abstractNumId w:val="92"/>
  </w:num>
  <w:num w:numId="10" w16cid:durableId="282081809">
    <w:abstractNumId w:val="82"/>
  </w:num>
  <w:num w:numId="11" w16cid:durableId="310791870">
    <w:abstractNumId w:val="30"/>
  </w:num>
  <w:num w:numId="12" w16cid:durableId="431703101">
    <w:abstractNumId w:val="34"/>
  </w:num>
  <w:num w:numId="13" w16cid:durableId="1577666007">
    <w:abstractNumId w:val="20"/>
  </w:num>
  <w:num w:numId="14" w16cid:durableId="1018656828">
    <w:abstractNumId w:val="110"/>
  </w:num>
  <w:num w:numId="15" w16cid:durableId="776487259">
    <w:abstractNumId w:val="9"/>
  </w:num>
  <w:num w:numId="16" w16cid:durableId="1358118180">
    <w:abstractNumId w:val="100"/>
  </w:num>
  <w:num w:numId="17" w16cid:durableId="1831603679">
    <w:abstractNumId w:val="111"/>
  </w:num>
  <w:num w:numId="18" w16cid:durableId="1035232863">
    <w:abstractNumId w:val="149"/>
  </w:num>
  <w:num w:numId="19" w16cid:durableId="502820331">
    <w:abstractNumId w:val="29"/>
  </w:num>
  <w:num w:numId="20" w16cid:durableId="399638876">
    <w:abstractNumId w:val="89"/>
  </w:num>
  <w:num w:numId="21" w16cid:durableId="828012044">
    <w:abstractNumId w:val="61"/>
  </w:num>
  <w:num w:numId="22" w16cid:durableId="487088621">
    <w:abstractNumId w:val="138"/>
  </w:num>
  <w:num w:numId="23" w16cid:durableId="1412895969">
    <w:abstractNumId w:val="84"/>
  </w:num>
  <w:num w:numId="24" w16cid:durableId="1335768545">
    <w:abstractNumId w:val="52"/>
  </w:num>
  <w:num w:numId="25" w16cid:durableId="834347500">
    <w:abstractNumId w:val="76"/>
  </w:num>
  <w:num w:numId="26" w16cid:durableId="1798643342">
    <w:abstractNumId w:val="83"/>
  </w:num>
  <w:num w:numId="27" w16cid:durableId="1841775574">
    <w:abstractNumId w:val="75"/>
  </w:num>
  <w:num w:numId="28" w16cid:durableId="1904678020">
    <w:abstractNumId w:val="98"/>
  </w:num>
  <w:num w:numId="29" w16cid:durableId="436800222">
    <w:abstractNumId w:val="116"/>
  </w:num>
  <w:num w:numId="30" w16cid:durableId="1405182886">
    <w:abstractNumId w:val="114"/>
  </w:num>
  <w:num w:numId="31" w16cid:durableId="1119371002">
    <w:abstractNumId w:val="60"/>
  </w:num>
  <w:num w:numId="32" w16cid:durableId="796947292">
    <w:abstractNumId w:val="40"/>
  </w:num>
  <w:num w:numId="33" w16cid:durableId="651103320">
    <w:abstractNumId w:val="152"/>
  </w:num>
  <w:num w:numId="34" w16cid:durableId="372459165">
    <w:abstractNumId w:val="78"/>
  </w:num>
  <w:num w:numId="35" w16cid:durableId="701781697">
    <w:abstractNumId w:val="36"/>
  </w:num>
  <w:num w:numId="36" w16cid:durableId="575213604">
    <w:abstractNumId w:val="128"/>
  </w:num>
  <w:num w:numId="37" w16cid:durableId="1040056879">
    <w:abstractNumId w:val="51"/>
  </w:num>
  <w:num w:numId="38" w16cid:durableId="1732995127">
    <w:abstractNumId w:val="68"/>
  </w:num>
  <w:num w:numId="39" w16cid:durableId="1006715945">
    <w:abstractNumId w:val="31"/>
  </w:num>
  <w:num w:numId="40" w16cid:durableId="669136445">
    <w:abstractNumId w:val="141"/>
  </w:num>
  <w:num w:numId="41" w16cid:durableId="1470827804">
    <w:abstractNumId w:val="18"/>
  </w:num>
  <w:num w:numId="42" w16cid:durableId="1200707832">
    <w:abstractNumId w:val="137"/>
  </w:num>
  <w:num w:numId="43" w16cid:durableId="1884438900">
    <w:abstractNumId w:val="96"/>
  </w:num>
  <w:num w:numId="44" w16cid:durableId="250433974">
    <w:abstractNumId w:val="166"/>
  </w:num>
  <w:num w:numId="45" w16cid:durableId="1540623358">
    <w:abstractNumId w:val="5"/>
  </w:num>
  <w:num w:numId="46" w16cid:durableId="1077289587">
    <w:abstractNumId w:val="27"/>
  </w:num>
  <w:num w:numId="47" w16cid:durableId="1690137202">
    <w:abstractNumId w:val="88"/>
  </w:num>
  <w:num w:numId="48" w16cid:durableId="1679304260">
    <w:abstractNumId w:val="8"/>
  </w:num>
  <w:num w:numId="49" w16cid:durableId="882837395">
    <w:abstractNumId w:val="64"/>
  </w:num>
  <w:num w:numId="50" w16cid:durableId="874924737">
    <w:abstractNumId w:val="0"/>
  </w:num>
  <w:num w:numId="51" w16cid:durableId="79451732">
    <w:abstractNumId w:val="21"/>
  </w:num>
  <w:num w:numId="52" w16cid:durableId="1402562952">
    <w:abstractNumId w:val="80"/>
  </w:num>
  <w:num w:numId="53" w16cid:durableId="1023899754">
    <w:abstractNumId w:val="135"/>
  </w:num>
  <w:num w:numId="54" w16cid:durableId="1704089307">
    <w:abstractNumId w:val="122"/>
  </w:num>
  <w:num w:numId="55" w16cid:durableId="201018957">
    <w:abstractNumId w:val="159"/>
  </w:num>
  <w:num w:numId="56" w16cid:durableId="202525048">
    <w:abstractNumId w:val="57"/>
  </w:num>
  <w:num w:numId="57" w16cid:durableId="1640915984">
    <w:abstractNumId w:val="26"/>
  </w:num>
  <w:num w:numId="58" w16cid:durableId="741176521">
    <w:abstractNumId w:val="3"/>
  </w:num>
  <w:num w:numId="59" w16cid:durableId="1351565266">
    <w:abstractNumId w:val="117"/>
  </w:num>
  <w:num w:numId="60" w16cid:durableId="1043212397">
    <w:abstractNumId w:val="7"/>
  </w:num>
  <w:num w:numId="61" w16cid:durableId="1010378330">
    <w:abstractNumId w:val="91"/>
  </w:num>
  <w:num w:numId="62" w16cid:durableId="974868511">
    <w:abstractNumId w:val="2"/>
  </w:num>
  <w:num w:numId="63" w16cid:durableId="924605006">
    <w:abstractNumId w:val="161"/>
  </w:num>
  <w:num w:numId="64" w16cid:durableId="81270053">
    <w:abstractNumId w:val="101"/>
  </w:num>
  <w:num w:numId="65" w16cid:durableId="557402619">
    <w:abstractNumId w:val="97"/>
  </w:num>
  <w:num w:numId="66" w16cid:durableId="2028828965">
    <w:abstractNumId w:val="67"/>
  </w:num>
  <w:num w:numId="67" w16cid:durableId="1873609439">
    <w:abstractNumId w:val="72"/>
  </w:num>
  <w:num w:numId="68" w16cid:durableId="896816497">
    <w:abstractNumId w:val="13"/>
  </w:num>
  <w:num w:numId="69" w16cid:durableId="1299074331">
    <w:abstractNumId w:val="123"/>
  </w:num>
  <w:num w:numId="70" w16cid:durableId="160126134">
    <w:abstractNumId w:val="58"/>
  </w:num>
  <w:num w:numId="71" w16cid:durableId="628710291">
    <w:abstractNumId w:val="49"/>
  </w:num>
  <w:num w:numId="72" w16cid:durableId="1332492510">
    <w:abstractNumId w:val="151"/>
  </w:num>
  <w:num w:numId="73" w16cid:durableId="1936208024">
    <w:abstractNumId w:val="153"/>
  </w:num>
  <w:num w:numId="74" w16cid:durableId="338118425">
    <w:abstractNumId w:val="39"/>
  </w:num>
  <w:num w:numId="75" w16cid:durableId="529031053">
    <w:abstractNumId w:val="125"/>
  </w:num>
  <w:num w:numId="76" w16cid:durableId="2042395628">
    <w:abstractNumId w:val="87"/>
  </w:num>
  <w:num w:numId="77" w16cid:durableId="1614821159">
    <w:abstractNumId w:val="93"/>
  </w:num>
  <w:num w:numId="78" w16cid:durableId="75833082">
    <w:abstractNumId w:val="104"/>
  </w:num>
  <w:num w:numId="79" w16cid:durableId="601257826">
    <w:abstractNumId w:val="70"/>
  </w:num>
  <w:num w:numId="80" w16cid:durableId="1629510296">
    <w:abstractNumId w:val="99"/>
  </w:num>
  <w:num w:numId="81" w16cid:durableId="75563943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636767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48677947">
    <w:abstractNumId w:val="81"/>
  </w:num>
  <w:num w:numId="84" w16cid:durableId="63741658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989046108">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69356918">
    <w:abstractNumId w:val="15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33366087">
    <w:abstractNumId w:val="1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98138810">
    <w:abstractNumId w:val="160"/>
  </w:num>
  <w:num w:numId="89" w16cid:durableId="996153091">
    <w:abstractNumId w:val="19"/>
  </w:num>
  <w:num w:numId="90" w16cid:durableId="404230028">
    <w:abstractNumId w:val="23"/>
  </w:num>
  <w:num w:numId="91" w16cid:durableId="1321882615">
    <w:abstractNumId w:val="139"/>
  </w:num>
  <w:num w:numId="92" w16cid:durableId="2060929607">
    <w:abstractNumId w:val="22"/>
  </w:num>
  <w:num w:numId="93" w16cid:durableId="1505045278">
    <w:abstractNumId w:val="25"/>
  </w:num>
  <w:num w:numId="94" w16cid:durableId="616259437">
    <w:abstractNumId w:val="50"/>
  </w:num>
  <w:num w:numId="95" w16cid:durableId="735057001">
    <w:abstractNumId w:val="47"/>
  </w:num>
  <w:num w:numId="96" w16cid:durableId="1843011426">
    <w:abstractNumId w:val="48"/>
  </w:num>
  <w:num w:numId="97" w16cid:durableId="310136769">
    <w:abstractNumId w:val="14"/>
  </w:num>
  <w:num w:numId="98" w16cid:durableId="1932011508">
    <w:abstractNumId w:val="56"/>
  </w:num>
  <w:num w:numId="99" w16cid:durableId="1223296108">
    <w:abstractNumId w:val="53"/>
  </w:num>
  <w:num w:numId="100" w16cid:durableId="13120988">
    <w:abstractNumId w:val="32"/>
  </w:num>
  <w:num w:numId="101" w16cid:durableId="1755585738">
    <w:abstractNumId w:val="102"/>
  </w:num>
  <w:num w:numId="102" w16cid:durableId="1288314485">
    <w:abstractNumId w:val="44"/>
  </w:num>
  <w:num w:numId="103" w16cid:durableId="1316493017">
    <w:abstractNumId w:val="109"/>
  </w:num>
  <w:num w:numId="104" w16cid:durableId="2044935746">
    <w:abstractNumId w:val="77"/>
  </w:num>
  <w:num w:numId="105" w16cid:durableId="492065019">
    <w:abstractNumId w:val="54"/>
  </w:num>
  <w:num w:numId="106" w16cid:durableId="825779193">
    <w:abstractNumId w:val="144"/>
  </w:num>
  <w:num w:numId="107" w16cid:durableId="639964750">
    <w:abstractNumId w:val="143"/>
  </w:num>
  <w:num w:numId="108" w16cid:durableId="636839456">
    <w:abstractNumId w:val="63"/>
  </w:num>
  <w:num w:numId="109" w16cid:durableId="890119703">
    <w:abstractNumId w:val="11"/>
  </w:num>
  <w:num w:numId="110" w16cid:durableId="1828782582">
    <w:abstractNumId w:val="28"/>
  </w:num>
  <w:num w:numId="111" w16cid:durableId="661738407">
    <w:abstractNumId w:val="115"/>
  </w:num>
  <w:num w:numId="112" w16cid:durableId="680667934">
    <w:abstractNumId w:val="113"/>
  </w:num>
  <w:num w:numId="113" w16cid:durableId="207495486">
    <w:abstractNumId w:val="130"/>
  </w:num>
  <w:num w:numId="114" w16cid:durableId="1537037775">
    <w:abstractNumId w:val="59"/>
  </w:num>
  <w:num w:numId="115" w16cid:durableId="1329675913">
    <w:abstractNumId w:val="66"/>
  </w:num>
  <w:num w:numId="116" w16cid:durableId="477262437">
    <w:abstractNumId w:val="140"/>
  </w:num>
  <w:num w:numId="117" w16cid:durableId="682435318">
    <w:abstractNumId w:val="132"/>
  </w:num>
  <w:num w:numId="118" w16cid:durableId="1390498212">
    <w:abstractNumId w:val="165"/>
  </w:num>
  <w:num w:numId="119" w16cid:durableId="1493057706">
    <w:abstractNumId w:val="107"/>
  </w:num>
  <w:num w:numId="120" w16cid:durableId="415326210">
    <w:abstractNumId w:val="71"/>
  </w:num>
  <w:num w:numId="121" w16cid:durableId="1546066253">
    <w:abstractNumId w:val="119"/>
  </w:num>
  <w:num w:numId="122" w16cid:durableId="1833834766">
    <w:abstractNumId w:val="142"/>
  </w:num>
  <w:num w:numId="123" w16cid:durableId="2060325030">
    <w:abstractNumId w:val="112"/>
  </w:num>
  <w:num w:numId="124" w16cid:durableId="1883469955">
    <w:abstractNumId w:val="37"/>
  </w:num>
  <w:num w:numId="125" w16cid:durableId="238751272">
    <w:abstractNumId w:val="33"/>
  </w:num>
  <w:num w:numId="126" w16cid:durableId="860973367">
    <w:abstractNumId w:val="148"/>
  </w:num>
  <w:num w:numId="127" w16cid:durableId="519396620">
    <w:abstractNumId w:val="1"/>
  </w:num>
  <w:num w:numId="128" w16cid:durableId="470637066">
    <w:abstractNumId w:val="124"/>
  </w:num>
  <w:num w:numId="129" w16cid:durableId="259071774">
    <w:abstractNumId w:val="15"/>
  </w:num>
  <w:num w:numId="130" w16cid:durableId="1919512008">
    <w:abstractNumId w:val="133"/>
  </w:num>
  <w:num w:numId="131" w16cid:durableId="883181529">
    <w:abstractNumId w:val="147"/>
  </w:num>
  <w:num w:numId="132" w16cid:durableId="1809087681">
    <w:abstractNumId w:val="162"/>
  </w:num>
  <w:num w:numId="133" w16cid:durableId="48265082">
    <w:abstractNumId w:val="158"/>
  </w:num>
  <w:num w:numId="134" w16cid:durableId="252789344">
    <w:abstractNumId w:val="38"/>
  </w:num>
  <w:num w:numId="135" w16cid:durableId="483740623">
    <w:abstractNumId w:val="145"/>
  </w:num>
  <w:num w:numId="136" w16cid:durableId="1147475478">
    <w:abstractNumId w:val="79"/>
  </w:num>
  <w:num w:numId="137" w16cid:durableId="702174134">
    <w:abstractNumId w:val="146"/>
  </w:num>
  <w:num w:numId="138" w16cid:durableId="594293013">
    <w:abstractNumId w:val="24"/>
  </w:num>
  <w:num w:numId="139" w16cid:durableId="134421141">
    <w:abstractNumId w:val="103"/>
  </w:num>
  <w:num w:numId="140" w16cid:durableId="60980242">
    <w:abstractNumId w:val="41"/>
  </w:num>
  <w:num w:numId="141" w16cid:durableId="971516742">
    <w:abstractNumId w:val="105"/>
  </w:num>
  <w:num w:numId="142" w16cid:durableId="1019235104">
    <w:abstractNumId w:val="85"/>
  </w:num>
  <w:num w:numId="143" w16cid:durableId="21518408">
    <w:abstractNumId w:val="167"/>
  </w:num>
  <w:num w:numId="144" w16cid:durableId="910890418">
    <w:abstractNumId w:val="164"/>
  </w:num>
  <w:num w:numId="145" w16cid:durableId="652491389">
    <w:abstractNumId w:val="43"/>
  </w:num>
  <w:num w:numId="146" w16cid:durableId="1614359511">
    <w:abstractNumId w:val="156"/>
  </w:num>
  <w:num w:numId="147" w16cid:durableId="155655750">
    <w:abstractNumId w:val="55"/>
  </w:num>
  <w:num w:numId="148" w16cid:durableId="1843616475">
    <w:abstractNumId w:val="35"/>
  </w:num>
  <w:num w:numId="149" w16cid:durableId="567808973">
    <w:abstractNumId w:val="17"/>
  </w:num>
  <w:num w:numId="150" w16cid:durableId="1664698624">
    <w:abstractNumId w:val="126"/>
  </w:num>
  <w:num w:numId="151" w16cid:durableId="1673144059">
    <w:abstractNumId w:val="95"/>
  </w:num>
  <w:num w:numId="152" w16cid:durableId="138958501">
    <w:abstractNumId w:val="42"/>
  </w:num>
  <w:num w:numId="153" w16cid:durableId="125785309">
    <w:abstractNumId w:val="65"/>
  </w:num>
  <w:num w:numId="154" w16cid:durableId="1452164170">
    <w:abstractNumId w:val="10"/>
  </w:num>
  <w:num w:numId="155" w16cid:durableId="1796633672">
    <w:abstractNumId w:val="90"/>
  </w:num>
  <w:num w:numId="156" w16cid:durableId="1229655559">
    <w:abstractNumId w:val="73"/>
  </w:num>
  <w:num w:numId="157" w16cid:durableId="1740709860">
    <w:abstractNumId w:val="45"/>
  </w:num>
  <w:num w:numId="158" w16cid:durableId="25260318">
    <w:abstractNumId w:val="129"/>
  </w:num>
  <w:num w:numId="159" w16cid:durableId="1484666043">
    <w:abstractNumId w:val="127"/>
  </w:num>
  <w:num w:numId="160" w16cid:durableId="1435708667">
    <w:abstractNumId w:val="94"/>
  </w:num>
  <w:num w:numId="161" w16cid:durableId="1828860536">
    <w:abstractNumId w:val="150"/>
  </w:num>
  <w:num w:numId="162" w16cid:durableId="1228420328">
    <w:abstractNumId w:val="120"/>
  </w:num>
  <w:num w:numId="163" w16cid:durableId="153231214">
    <w:abstractNumId w:val="131"/>
  </w:num>
  <w:num w:numId="164" w16cid:durableId="714086491">
    <w:abstractNumId w:val="6"/>
  </w:num>
  <w:num w:numId="165" w16cid:durableId="2028016793">
    <w:abstractNumId w:val="121"/>
  </w:num>
  <w:num w:numId="166" w16cid:durableId="1357585184">
    <w:abstractNumId w:val="118"/>
  </w:num>
  <w:num w:numId="167" w16cid:durableId="972369907">
    <w:abstractNumId w:val="163"/>
  </w:num>
  <w:num w:numId="168" w16cid:durableId="1266960400">
    <w:abstractNumId w:val="108"/>
  </w:num>
  <w:num w:numId="169" w16cid:durableId="1697778691">
    <w:abstractNumId w:val="12"/>
  </w:num>
  <w:num w:numId="170" w16cid:durableId="1562129193">
    <w:abstractNumId w:val="155"/>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DE"/>
    <w:rsid w:val="00000326"/>
    <w:rsid w:val="00002F7A"/>
    <w:rsid w:val="00003B5D"/>
    <w:rsid w:val="000046C1"/>
    <w:rsid w:val="00004AA4"/>
    <w:rsid w:val="00005365"/>
    <w:rsid w:val="00007FFA"/>
    <w:rsid w:val="00014284"/>
    <w:rsid w:val="00016346"/>
    <w:rsid w:val="00017505"/>
    <w:rsid w:val="00017DD2"/>
    <w:rsid w:val="000201E2"/>
    <w:rsid w:val="0002303D"/>
    <w:rsid w:val="00024642"/>
    <w:rsid w:val="000314DD"/>
    <w:rsid w:val="000349CF"/>
    <w:rsid w:val="00035848"/>
    <w:rsid w:val="000373AB"/>
    <w:rsid w:val="000379DD"/>
    <w:rsid w:val="000442A1"/>
    <w:rsid w:val="000444D0"/>
    <w:rsid w:val="00045F98"/>
    <w:rsid w:val="00047D41"/>
    <w:rsid w:val="00050632"/>
    <w:rsid w:val="00050D1F"/>
    <w:rsid w:val="00052597"/>
    <w:rsid w:val="000532CB"/>
    <w:rsid w:val="000539BC"/>
    <w:rsid w:val="00056364"/>
    <w:rsid w:val="00056F00"/>
    <w:rsid w:val="00060002"/>
    <w:rsid w:val="00060066"/>
    <w:rsid w:val="00060D91"/>
    <w:rsid w:val="00061246"/>
    <w:rsid w:val="00061818"/>
    <w:rsid w:val="00064A9E"/>
    <w:rsid w:val="000652B6"/>
    <w:rsid w:val="00065B51"/>
    <w:rsid w:val="00070D55"/>
    <w:rsid w:val="00071287"/>
    <w:rsid w:val="000737CB"/>
    <w:rsid w:val="00074D63"/>
    <w:rsid w:val="00085BA7"/>
    <w:rsid w:val="00085ED6"/>
    <w:rsid w:val="000869E5"/>
    <w:rsid w:val="000901B9"/>
    <w:rsid w:val="000909D6"/>
    <w:rsid w:val="000916FC"/>
    <w:rsid w:val="000924DF"/>
    <w:rsid w:val="0009628C"/>
    <w:rsid w:val="000A040D"/>
    <w:rsid w:val="000A0A51"/>
    <w:rsid w:val="000A144C"/>
    <w:rsid w:val="000A1DD3"/>
    <w:rsid w:val="000A2764"/>
    <w:rsid w:val="000A5FF0"/>
    <w:rsid w:val="000A6BB6"/>
    <w:rsid w:val="000A6DD0"/>
    <w:rsid w:val="000B0920"/>
    <w:rsid w:val="000B1CDE"/>
    <w:rsid w:val="000B6572"/>
    <w:rsid w:val="000B6C13"/>
    <w:rsid w:val="000C0155"/>
    <w:rsid w:val="000C107E"/>
    <w:rsid w:val="000C393E"/>
    <w:rsid w:val="000C4418"/>
    <w:rsid w:val="000C4432"/>
    <w:rsid w:val="000D2C3B"/>
    <w:rsid w:val="000D695F"/>
    <w:rsid w:val="000D6999"/>
    <w:rsid w:val="000D7168"/>
    <w:rsid w:val="000E05CA"/>
    <w:rsid w:val="000E082F"/>
    <w:rsid w:val="000E0BC2"/>
    <w:rsid w:val="000E266F"/>
    <w:rsid w:val="000E341C"/>
    <w:rsid w:val="000E35B8"/>
    <w:rsid w:val="000E7C90"/>
    <w:rsid w:val="000F00C9"/>
    <w:rsid w:val="000F14F4"/>
    <w:rsid w:val="000F1760"/>
    <w:rsid w:val="000F3950"/>
    <w:rsid w:val="000F6AE7"/>
    <w:rsid w:val="000F7A8B"/>
    <w:rsid w:val="000F7D40"/>
    <w:rsid w:val="00100EA6"/>
    <w:rsid w:val="00101D27"/>
    <w:rsid w:val="001031A4"/>
    <w:rsid w:val="0010376E"/>
    <w:rsid w:val="0010453C"/>
    <w:rsid w:val="00105E63"/>
    <w:rsid w:val="001061B8"/>
    <w:rsid w:val="00106523"/>
    <w:rsid w:val="001065D5"/>
    <w:rsid w:val="0010668F"/>
    <w:rsid w:val="00107488"/>
    <w:rsid w:val="00107700"/>
    <w:rsid w:val="00111CB6"/>
    <w:rsid w:val="00114E0C"/>
    <w:rsid w:val="00114FC5"/>
    <w:rsid w:val="00116173"/>
    <w:rsid w:val="00120804"/>
    <w:rsid w:val="00121350"/>
    <w:rsid w:val="00121B97"/>
    <w:rsid w:val="001242BE"/>
    <w:rsid w:val="00124427"/>
    <w:rsid w:val="0012528A"/>
    <w:rsid w:val="00126B5A"/>
    <w:rsid w:val="00127542"/>
    <w:rsid w:val="00130E9E"/>
    <w:rsid w:val="00131B0E"/>
    <w:rsid w:val="00131D61"/>
    <w:rsid w:val="00135762"/>
    <w:rsid w:val="00135952"/>
    <w:rsid w:val="001366FE"/>
    <w:rsid w:val="00136A62"/>
    <w:rsid w:val="00137329"/>
    <w:rsid w:val="0013748A"/>
    <w:rsid w:val="00137623"/>
    <w:rsid w:val="001378CD"/>
    <w:rsid w:val="00142F88"/>
    <w:rsid w:val="00147250"/>
    <w:rsid w:val="001504BA"/>
    <w:rsid w:val="0015132F"/>
    <w:rsid w:val="00151C64"/>
    <w:rsid w:val="001529F8"/>
    <w:rsid w:val="00154324"/>
    <w:rsid w:val="00155698"/>
    <w:rsid w:val="00155D5A"/>
    <w:rsid w:val="00161091"/>
    <w:rsid w:val="001617BC"/>
    <w:rsid w:val="00165F88"/>
    <w:rsid w:val="00167268"/>
    <w:rsid w:val="001678B8"/>
    <w:rsid w:val="00170A9E"/>
    <w:rsid w:val="00175B30"/>
    <w:rsid w:val="001762BB"/>
    <w:rsid w:val="001768FB"/>
    <w:rsid w:val="0017704F"/>
    <w:rsid w:val="00180ADD"/>
    <w:rsid w:val="00180E0F"/>
    <w:rsid w:val="00181974"/>
    <w:rsid w:val="00181BF2"/>
    <w:rsid w:val="00181C32"/>
    <w:rsid w:val="00183F1B"/>
    <w:rsid w:val="00187BA8"/>
    <w:rsid w:val="00194980"/>
    <w:rsid w:val="00195929"/>
    <w:rsid w:val="001A0655"/>
    <w:rsid w:val="001A7041"/>
    <w:rsid w:val="001A7988"/>
    <w:rsid w:val="001B0458"/>
    <w:rsid w:val="001B0EFB"/>
    <w:rsid w:val="001B1855"/>
    <w:rsid w:val="001B1A14"/>
    <w:rsid w:val="001C12E6"/>
    <w:rsid w:val="001C16AF"/>
    <w:rsid w:val="001C34CA"/>
    <w:rsid w:val="001C6670"/>
    <w:rsid w:val="001C718D"/>
    <w:rsid w:val="001D0354"/>
    <w:rsid w:val="001D0849"/>
    <w:rsid w:val="001D0E50"/>
    <w:rsid w:val="001D4652"/>
    <w:rsid w:val="001D469A"/>
    <w:rsid w:val="001D4757"/>
    <w:rsid w:val="001D4A2C"/>
    <w:rsid w:val="001D4E36"/>
    <w:rsid w:val="001D507A"/>
    <w:rsid w:val="001D716B"/>
    <w:rsid w:val="001E0AE5"/>
    <w:rsid w:val="001E0E03"/>
    <w:rsid w:val="001E0E72"/>
    <w:rsid w:val="001E2CEB"/>
    <w:rsid w:val="001E3607"/>
    <w:rsid w:val="001E4435"/>
    <w:rsid w:val="001E44B1"/>
    <w:rsid w:val="001E4963"/>
    <w:rsid w:val="001E65F3"/>
    <w:rsid w:val="001E6DAF"/>
    <w:rsid w:val="001E7957"/>
    <w:rsid w:val="001F1DFD"/>
    <w:rsid w:val="001F1F2A"/>
    <w:rsid w:val="001F4659"/>
    <w:rsid w:val="001F5F7C"/>
    <w:rsid w:val="0020164F"/>
    <w:rsid w:val="002023E8"/>
    <w:rsid w:val="0020474E"/>
    <w:rsid w:val="0020492A"/>
    <w:rsid w:val="00204AEF"/>
    <w:rsid w:val="00205D88"/>
    <w:rsid w:val="0020770F"/>
    <w:rsid w:val="00207954"/>
    <w:rsid w:val="00210C97"/>
    <w:rsid w:val="002148D5"/>
    <w:rsid w:val="00216E24"/>
    <w:rsid w:val="00223912"/>
    <w:rsid w:val="00223CA8"/>
    <w:rsid w:val="00223EEB"/>
    <w:rsid w:val="00224220"/>
    <w:rsid w:val="00224C03"/>
    <w:rsid w:val="0022509B"/>
    <w:rsid w:val="00227F44"/>
    <w:rsid w:val="00231F8B"/>
    <w:rsid w:val="002324AB"/>
    <w:rsid w:val="00234C8B"/>
    <w:rsid w:val="00234C94"/>
    <w:rsid w:val="00235A2B"/>
    <w:rsid w:val="00247680"/>
    <w:rsid w:val="00251A11"/>
    <w:rsid w:val="00255BCB"/>
    <w:rsid w:val="00255EE9"/>
    <w:rsid w:val="002569C1"/>
    <w:rsid w:val="00256D56"/>
    <w:rsid w:val="002607B5"/>
    <w:rsid w:val="002611D7"/>
    <w:rsid w:val="002642C4"/>
    <w:rsid w:val="00264F39"/>
    <w:rsid w:val="002651AB"/>
    <w:rsid w:val="002676E6"/>
    <w:rsid w:val="002700F4"/>
    <w:rsid w:val="00270E86"/>
    <w:rsid w:val="002729A3"/>
    <w:rsid w:val="002734CD"/>
    <w:rsid w:val="00280AC9"/>
    <w:rsid w:val="00281014"/>
    <w:rsid w:val="00281241"/>
    <w:rsid w:val="00283CD5"/>
    <w:rsid w:val="002845B2"/>
    <w:rsid w:val="002847C6"/>
    <w:rsid w:val="0028496B"/>
    <w:rsid w:val="00285315"/>
    <w:rsid w:val="00285DAF"/>
    <w:rsid w:val="002912FB"/>
    <w:rsid w:val="00291456"/>
    <w:rsid w:val="00294184"/>
    <w:rsid w:val="002943CD"/>
    <w:rsid w:val="00294755"/>
    <w:rsid w:val="002A06AF"/>
    <w:rsid w:val="002A1CB8"/>
    <w:rsid w:val="002A261B"/>
    <w:rsid w:val="002A3CBB"/>
    <w:rsid w:val="002A4166"/>
    <w:rsid w:val="002A760B"/>
    <w:rsid w:val="002A76D7"/>
    <w:rsid w:val="002B0E31"/>
    <w:rsid w:val="002B0E74"/>
    <w:rsid w:val="002B2F60"/>
    <w:rsid w:val="002B64E0"/>
    <w:rsid w:val="002C02F0"/>
    <w:rsid w:val="002C10BD"/>
    <w:rsid w:val="002C1B27"/>
    <w:rsid w:val="002C2353"/>
    <w:rsid w:val="002C493C"/>
    <w:rsid w:val="002C4C8D"/>
    <w:rsid w:val="002C7300"/>
    <w:rsid w:val="002D10CC"/>
    <w:rsid w:val="002D2446"/>
    <w:rsid w:val="002D4D11"/>
    <w:rsid w:val="002D5E4E"/>
    <w:rsid w:val="002D7B68"/>
    <w:rsid w:val="002D7CE0"/>
    <w:rsid w:val="002E070A"/>
    <w:rsid w:val="002E0D4A"/>
    <w:rsid w:val="002E32D2"/>
    <w:rsid w:val="002E41D6"/>
    <w:rsid w:val="002E4864"/>
    <w:rsid w:val="002E6FF2"/>
    <w:rsid w:val="002E719D"/>
    <w:rsid w:val="002F0F2B"/>
    <w:rsid w:val="002F1240"/>
    <w:rsid w:val="002F1F48"/>
    <w:rsid w:val="002F28C2"/>
    <w:rsid w:val="002F3458"/>
    <w:rsid w:val="002F7371"/>
    <w:rsid w:val="002F74EA"/>
    <w:rsid w:val="002F768A"/>
    <w:rsid w:val="00307191"/>
    <w:rsid w:val="00307993"/>
    <w:rsid w:val="00312C25"/>
    <w:rsid w:val="003165D8"/>
    <w:rsid w:val="00317B26"/>
    <w:rsid w:val="0032023B"/>
    <w:rsid w:val="00321F38"/>
    <w:rsid w:val="00325D9F"/>
    <w:rsid w:val="0032750A"/>
    <w:rsid w:val="003320D6"/>
    <w:rsid w:val="00332497"/>
    <w:rsid w:val="0033408B"/>
    <w:rsid w:val="003351F3"/>
    <w:rsid w:val="003366E6"/>
    <w:rsid w:val="00343BC8"/>
    <w:rsid w:val="00344953"/>
    <w:rsid w:val="00345292"/>
    <w:rsid w:val="003455A4"/>
    <w:rsid w:val="003513DE"/>
    <w:rsid w:val="003519A0"/>
    <w:rsid w:val="00353443"/>
    <w:rsid w:val="0035360F"/>
    <w:rsid w:val="00354856"/>
    <w:rsid w:val="003574E0"/>
    <w:rsid w:val="00360F11"/>
    <w:rsid w:val="00361A45"/>
    <w:rsid w:val="003620F7"/>
    <w:rsid w:val="003625F0"/>
    <w:rsid w:val="0036277E"/>
    <w:rsid w:val="00363E74"/>
    <w:rsid w:val="00364CF0"/>
    <w:rsid w:val="00372EB1"/>
    <w:rsid w:val="0037612B"/>
    <w:rsid w:val="00380B23"/>
    <w:rsid w:val="003842F1"/>
    <w:rsid w:val="003855FF"/>
    <w:rsid w:val="0038720B"/>
    <w:rsid w:val="00387F3E"/>
    <w:rsid w:val="003911C6"/>
    <w:rsid w:val="00393579"/>
    <w:rsid w:val="003945D5"/>
    <w:rsid w:val="003A0604"/>
    <w:rsid w:val="003A1409"/>
    <w:rsid w:val="003A15C8"/>
    <w:rsid w:val="003A23AC"/>
    <w:rsid w:val="003A2C0C"/>
    <w:rsid w:val="003A332C"/>
    <w:rsid w:val="003A41D9"/>
    <w:rsid w:val="003A720F"/>
    <w:rsid w:val="003B09C8"/>
    <w:rsid w:val="003B4891"/>
    <w:rsid w:val="003B54A6"/>
    <w:rsid w:val="003B600F"/>
    <w:rsid w:val="003B7E5A"/>
    <w:rsid w:val="003C0564"/>
    <w:rsid w:val="003C1F0F"/>
    <w:rsid w:val="003C2476"/>
    <w:rsid w:val="003C599A"/>
    <w:rsid w:val="003C70DC"/>
    <w:rsid w:val="003D3AEE"/>
    <w:rsid w:val="003D411B"/>
    <w:rsid w:val="003D7303"/>
    <w:rsid w:val="003D7ACE"/>
    <w:rsid w:val="003E078F"/>
    <w:rsid w:val="003E3A51"/>
    <w:rsid w:val="003E4028"/>
    <w:rsid w:val="003E4DCB"/>
    <w:rsid w:val="003E672C"/>
    <w:rsid w:val="003E6EAF"/>
    <w:rsid w:val="003F1379"/>
    <w:rsid w:val="003F33F7"/>
    <w:rsid w:val="003F47ED"/>
    <w:rsid w:val="003F5586"/>
    <w:rsid w:val="003F5F59"/>
    <w:rsid w:val="003F6FB0"/>
    <w:rsid w:val="003F70CF"/>
    <w:rsid w:val="00402A24"/>
    <w:rsid w:val="004041C2"/>
    <w:rsid w:val="00406B2D"/>
    <w:rsid w:val="00406B64"/>
    <w:rsid w:val="00407ADD"/>
    <w:rsid w:val="00410884"/>
    <w:rsid w:val="00412FF2"/>
    <w:rsid w:val="0041443C"/>
    <w:rsid w:val="004150D8"/>
    <w:rsid w:val="00416C4A"/>
    <w:rsid w:val="00417467"/>
    <w:rsid w:val="00417D5F"/>
    <w:rsid w:val="004212BF"/>
    <w:rsid w:val="00422AAF"/>
    <w:rsid w:val="004237D4"/>
    <w:rsid w:val="00425CA0"/>
    <w:rsid w:val="00432095"/>
    <w:rsid w:val="00436020"/>
    <w:rsid w:val="0044258E"/>
    <w:rsid w:val="0044521D"/>
    <w:rsid w:val="004457E8"/>
    <w:rsid w:val="0044646C"/>
    <w:rsid w:val="00446AE7"/>
    <w:rsid w:val="00446FBE"/>
    <w:rsid w:val="00450593"/>
    <w:rsid w:val="004509C2"/>
    <w:rsid w:val="00451E8C"/>
    <w:rsid w:val="004608E2"/>
    <w:rsid w:val="004616B8"/>
    <w:rsid w:val="00464ED8"/>
    <w:rsid w:val="00466B7B"/>
    <w:rsid w:val="00466C23"/>
    <w:rsid w:val="00473CE1"/>
    <w:rsid w:val="004746FC"/>
    <w:rsid w:val="00474F71"/>
    <w:rsid w:val="00477C56"/>
    <w:rsid w:val="00480CF0"/>
    <w:rsid w:val="004812E5"/>
    <w:rsid w:val="004813F9"/>
    <w:rsid w:val="00483D07"/>
    <w:rsid w:val="00483E36"/>
    <w:rsid w:val="00485FB8"/>
    <w:rsid w:val="00487B4F"/>
    <w:rsid w:val="0049108B"/>
    <w:rsid w:val="0049108E"/>
    <w:rsid w:val="00491915"/>
    <w:rsid w:val="00495E0A"/>
    <w:rsid w:val="004A2799"/>
    <w:rsid w:val="004A31AD"/>
    <w:rsid w:val="004A3B2A"/>
    <w:rsid w:val="004A48D3"/>
    <w:rsid w:val="004A56C3"/>
    <w:rsid w:val="004A7148"/>
    <w:rsid w:val="004A75CA"/>
    <w:rsid w:val="004B0DA8"/>
    <w:rsid w:val="004B268C"/>
    <w:rsid w:val="004B49DF"/>
    <w:rsid w:val="004B596C"/>
    <w:rsid w:val="004B5E17"/>
    <w:rsid w:val="004B7F01"/>
    <w:rsid w:val="004C05D5"/>
    <w:rsid w:val="004C3CAE"/>
    <w:rsid w:val="004C492F"/>
    <w:rsid w:val="004C5A76"/>
    <w:rsid w:val="004C5CA5"/>
    <w:rsid w:val="004C7B77"/>
    <w:rsid w:val="004D04DC"/>
    <w:rsid w:val="004D134F"/>
    <w:rsid w:val="004D206F"/>
    <w:rsid w:val="004D2373"/>
    <w:rsid w:val="004D2971"/>
    <w:rsid w:val="004D44D2"/>
    <w:rsid w:val="004D47C7"/>
    <w:rsid w:val="004D5C77"/>
    <w:rsid w:val="004D66E3"/>
    <w:rsid w:val="004D71C0"/>
    <w:rsid w:val="004E1C13"/>
    <w:rsid w:val="004E2ECB"/>
    <w:rsid w:val="004E3548"/>
    <w:rsid w:val="004E3B24"/>
    <w:rsid w:val="004E3B85"/>
    <w:rsid w:val="004F04C0"/>
    <w:rsid w:val="004F26BB"/>
    <w:rsid w:val="004F51D0"/>
    <w:rsid w:val="004F5A22"/>
    <w:rsid w:val="004F6B75"/>
    <w:rsid w:val="00504BAA"/>
    <w:rsid w:val="005057CD"/>
    <w:rsid w:val="005057FB"/>
    <w:rsid w:val="00510070"/>
    <w:rsid w:val="00513240"/>
    <w:rsid w:val="005138E7"/>
    <w:rsid w:val="00515AA1"/>
    <w:rsid w:val="005224F8"/>
    <w:rsid w:val="005265E7"/>
    <w:rsid w:val="005271BC"/>
    <w:rsid w:val="005309C5"/>
    <w:rsid w:val="0053337B"/>
    <w:rsid w:val="0053353A"/>
    <w:rsid w:val="005359D2"/>
    <w:rsid w:val="00536BCD"/>
    <w:rsid w:val="005410BD"/>
    <w:rsid w:val="00541359"/>
    <w:rsid w:val="00541479"/>
    <w:rsid w:val="00544A05"/>
    <w:rsid w:val="00544D78"/>
    <w:rsid w:val="005463BE"/>
    <w:rsid w:val="00546B12"/>
    <w:rsid w:val="00546D52"/>
    <w:rsid w:val="0055021E"/>
    <w:rsid w:val="005502A3"/>
    <w:rsid w:val="005514AF"/>
    <w:rsid w:val="00553911"/>
    <w:rsid w:val="005562E2"/>
    <w:rsid w:val="0056212F"/>
    <w:rsid w:val="005646B9"/>
    <w:rsid w:val="0057186D"/>
    <w:rsid w:val="00571B8E"/>
    <w:rsid w:val="0057339D"/>
    <w:rsid w:val="00573690"/>
    <w:rsid w:val="0057381C"/>
    <w:rsid w:val="00573FE1"/>
    <w:rsid w:val="0058183A"/>
    <w:rsid w:val="005831C7"/>
    <w:rsid w:val="005909B0"/>
    <w:rsid w:val="00590CF7"/>
    <w:rsid w:val="005916E9"/>
    <w:rsid w:val="005919AF"/>
    <w:rsid w:val="005919C7"/>
    <w:rsid w:val="00592E15"/>
    <w:rsid w:val="00595B6B"/>
    <w:rsid w:val="0059693E"/>
    <w:rsid w:val="005A4342"/>
    <w:rsid w:val="005A62CD"/>
    <w:rsid w:val="005B143D"/>
    <w:rsid w:val="005B17C6"/>
    <w:rsid w:val="005B271F"/>
    <w:rsid w:val="005B27ED"/>
    <w:rsid w:val="005B464D"/>
    <w:rsid w:val="005B48CB"/>
    <w:rsid w:val="005B530C"/>
    <w:rsid w:val="005C01E2"/>
    <w:rsid w:val="005C13E4"/>
    <w:rsid w:val="005C1EA6"/>
    <w:rsid w:val="005C2FE6"/>
    <w:rsid w:val="005C5E05"/>
    <w:rsid w:val="005C71FD"/>
    <w:rsid w:val="005C781C"/>
    <w:rsid w:val="005D1E73"/>
    <w:rsid w:val="005D2239"/>
    <w:rsid w:val="005D3CC0"/>
    <w:rsid w:val="005D78AB"/>
    <w:rsid w:val="005E0BFB"/>
    <w:rsid w:val="005E2025"/>
    <w:rsid w:val="005E2AE2"/>
    <w:rsid w:val="005E3BAD"/>
    <w:rsid w:val="005F0B43"/>
    <w:rsid w:val="005F2CBC"/>
    <w:rsid w:val="005F38D8"/>
    <w:rsid w:val="005F5836"/>
    <w:rsid w:val="005F737C"/>
    <w:rsid w:val="006006BC"/>
    <w:rsid w:val="00601FB9"/>
    <w:rsid w:val="00603682"/>
    <w:rsid w:val="0060407C"/>
    <w:rsid w:val="00604122"/>
    <w:rsid w:val="00605689"/>
    <w:rsid w:val="00611E8A"/>
    <w:rsid w:val="0061255A"/>
    <w:rsid w:val="0061412E"/>
    <w:rsid w:val="006142F4"/>
    <w:rsid w:val="00615634"/>
    <w:rsid w:val="006156CB"/>
    <w:rsid w:val="00615EE9"/>
    <w:rsid w:val="00620EB2"/>
    <w:rsid w:val="006216F9"/>
    <w:rsid w:val="00621ABF"/>
    <w:rsid w:val="00622904"/>
    <w:rsid w:val="00623064"/>
    <w:rsid w:val="006239A6"/>
    <w:rsid w:val="006264EA"/>
    <w:rsid w:val="00626D77"/>
    <w:rsid w:val="00627BF4"/>
    <w:rsid w:val="00630C7D"/>
    <w:rsid w:val="00631051"/>
    <w:rsid w:val="0063123B"/>
    <w:rsid w:val="00631716"/>
    <w:rsid w:val="00632111"/>
    <w:rsid w:val="0063655D"/>
    <w:rsid w:val="00636BE4"/>
    <w:rsid w:val="006403C8"/>
    <w:rsid w:val="00640A4F"/>
    <w:rsid w:val="00640B52"/>
    <w:rsid w:val="00643CE2"/>
    <w:rsid w:val="00652D04"/>
    <w:rsid w:val="006551F8"/>
    <w:rsid w:val="00657A64"/>
    <w:rsid w:val="0066138A"/>
    <w:rsid w:val="00662BF5"/>
    <w:rsid w:val="0066461E"/>
    <w:rsid w:val="00671BD2"/>
    <w:rsid w:val="00671EA1"/>
    <w:rsid w:val="00675F05"/>
    <w:rsid w:val="006817BD"/>
    <w:rsid w:val="006830F3"/>
    <w:rsid w:val="006850BE"/>
    <w:rsid w:val="00685E74"/>
    <w:rsid w:val="0069031D"/>
    <w:rsid w:val="00691DF9"/>
    <w:rsid w:val="00692D14"/>
    <w:rsid w:val="006931C3"/>
    <w:rsid w:val="00693951"/>
    <w:rsid w:val="00694F1A"/>
    <w:rsid w:val="00694FCC"/>
    <w:rsid w:val="00697B7F"/>
    <w:rsid w:val="006A77A0"/>
    <w:rsid w:val="006A78B4"/>
    <w:rsid w:val="006A7B85"/>
    <w:rsid w:val="006B1CF2"/>
    <w:rsid w:val="006B2C6C"/>
    <w:rsid w:val="006B3DC9"/>
    <w:rsid w:val="006B616B"/>
    <w:rsid w:val="006C5732"/>
    <w:rsid w:val="006C5778"/>
    <w:rsid w:val="006C668C"/>
    <w:rsid w:val="006C6848"/>
    <w:rsid w:val="006C7587"/>
    <w:rsid w:val="006D03C3"/>
    <w:rsid w:val="006D23BB"/>
    <w:rsid w:val="006D3AB6"/>
    <w:rsid w:val="006E3F9E"/>
    <w:rsid w:val="006E54E7"/>
    <w:rsid w:val="006F40F8"/>
    <w:rsid w:val="006F6A48"/>
    <w:rsid w:val="006F6DFD"/>
    <w:rsid w:val="006F7383"/>
    <w:rsid w:val="006F743E"/>
    <w:rsid w:val="0070047B"/>
    <w:rsid w:val="00701CCE"/>
    <w:rsid w:val="00702A15"/>
    <w:rsid w:val="0070494E"/>
    <w:rsid w:val="0071078A"/>
    <w:rsid w:val="00711F5D"/>
    <w:rsid w:val="007149BC"/>
    <w:rsid w:val="00714E9B"/>
    <w:rsid w:val="00715085"/>
    <w:rsid w:val="00715ED9"/>
    <w:rsid w:val="00717D22"/>
    <w:rsid w:val="007205F9"/>
    <w:rsid w:val="00721ABC"/>
    <w:rsid w:val="0072452A"/>
    <w:rsid w:val="00724E7C"/>
    <w:rsid w:val="00726037"/>
    <w:rsid w:val="00730191"/>
    <w:rsid w:val="0073026D"/>
    <w:rsid w:val="00731207"/>
    <w:rsid w:val="0073265A"/>
    <w:rsid w:val="0073450C"/>
    <w:rsid w:val="00734F11"/>
    <w:rsid w:val="007350AE"/>
    <w:rsid w:val="0073577C"/>
    <w:rsid w:val="007359D0"/>
    <w:rsid w:val="00740E8C"/>
    <w:rsid w:val="0074599D"/>
    <w:rsid w:val="00746B78"/>
    <w:rsid w:val="00752627"/>
    <w:rsid w:val="00752845"/>
    <w:rsid w:val="00752D06"/>
    <w:rsid w:val="00753253"/>
    <w:rsid w:val="0075534B"/>
    <w:rsid w:val="007556D8"/>
    <w:rsid w:val="00760CA6"/>
    <w:rsid w:val="007646A0"/>
    <w:rsid w:val="00765398"/>
    <w:rsid w:val="00765ABB"/>
    <w:rsid w:val="00766220"/>
    <w:rsid w:val="007662DC"/>
    <w:rsid w:val="00767CEA"/>
    <w:rsid w:val="00767F3A"/>
    <w:rsid w:val="00772FC1"/>
    <w:rsid w:val="0077620C"/>
    <w:rsid w:val="00781A28"/>
    <w:rsid w:val="007857E1"/>
    <w:rsid w:val="00791706"/>
    <w:rsid w:val="00791DDE"/>
    <w:rsid w:val="007939A2"/>
    <w:rsid w:val="00794332"/>
    <w:rsid w:val="0079798F"/>
    <w:rsid w:val="007A0CD8"/>
    <w:rsid w:val="007A2C2C"/>
    <w:rsid w:val="007A4620"/>
    <w:rsid w:val="007A5BF4"/>
    <w:rsid w:val="007B13AF"/>
    <w:rsid w:val="007B2B9E"/>
    <w:rsid w:val="007B5329"/>
    <w:rsid w:val="007B552D"/>
    <w:rsid w:val="007B741E"/>
    <w:rsid w:val="007C07EF"/>
    <w:rsid w:val="007C0AEF"/>
    <w:rsid w:val="007C3434"/>
    <w:rsid w:val="007D120F"/>
    <w:rsid w:val="007D6815"/>
    <w:rsid w:val="007D74F5"/>
    <w:rsid w:val="007E12A1"/>
    <w:rsid w:val="007E6343"/>
    <w:rsid w:val="007E665C"/>
    <w:rsid w:val="007E6D09"/>
    <w:rsid w:val="007E7522"/>
    <w:rsid w:val="007F340C"/>
    <w:rsid w:val="007F3924"/>
    <w:rsid w:val="008003B5"/>
    <w:rsid w:val="00800C5B"/>
    <w:rsid w:val="008027D1"/>
    <w:rsid w:val="00804524"/>
    <w:rsid w:val="00805B9A"/>
    <w:rsid w:val="0080794C"/>
    <w:rsid w:val="00807C96"/>
    <w:rsid w:val="00810B0C"/>
    <w:rsid w:val="00810B1F"/>
    <w:rsid w:val="00812E7E"/>
    <w:rsid w:val="00813766"/>
    <w:rsid w:val="00813A51"/>
    <w:rsid w:val="008141B8"/>
    <w:rsid w:val="00815BE3"/>
    <w:rsid w:val="008163E2"/>
    <w:rsid w:val="0081789E"/>
    <w:rsid w:val="008204DB"/>
    <w:rsid w:val="008222D3"/>
    <w:rsid w:val="00822EE4"/>
    <w:rsid w:val="00823A6E"/>
    <w:rsid w:val="008251B4"/>
    <w:rsid w:val="008313C5"/>
    <w:rsid w:val="00831D2A"/>
    <w:rsid w:val="00834AE4"/>
    <w:rsid w:val="008375C5"/>
    <w:rsid w:val="008406B2"/>
    <w:rsid w:val="008412F9"/>
    <w:rsid w:val="00841844"/>
    <w:rsid w:val="008425F3"/>
    <w:rsid w:val="00843228"/>
    <w:rsid w:val="0084399B"/>
    <w:rsid w:val="008466C1"/>
    <w:rsid w:val="00846D4C"/>
    <w:rsid w:val="008470C4"/>
    <w:rsid w:val="0085152B"/>
    <w:rsid w:val="00854A4B"/>
    <w:rsid w:val="00857022"/>
    <w:rsid w:val="00857862"/>
    <w:rsid w:val="00857E75"/>
    <w:rsid w:val="008615C8"/>
    <w:rsid w:val="00863CDB"/>
    <w:rsid w:val="00865BB3"/>
    <w:rsid w:val="00865F09"/>
    <w:rsid w:val="008703C5"/>
    <w:rsid w:val="00870FE6"/>
    <w:rsid w:val="008749A4"/>
    <w:rsid w:val="00875402"/>
    <w:rsid w:val="00875659"/>
    <w:rsid w:val="008764EF"/>
    <w:rsid w:val="00877AC4"/>
    <w:rsid w:val="008801CA"/>
    <w:rsid w:val="00880DE5"/>
    <w:rsid w:val="00881246"/>
    <w:rsid w:val="00881DEC"/>
    <w:rsid w:val="00882C6F"/>
    <w:rsid w:val="00883556"/>
    <w:rsid w:val="0088388E"/>
    <w:rsid w:val="0088712E"/>
    <w:rsid w:val="00890CFD"/>
    <w:rsid w:val="008931B1"/>
    <w:rsid w:val="00896DF1"/>
    <w:rsid w:val="00897977"/>
    <w:rsid w:val="008A0A8C"/>
    <w:rsid w:val="008A1034"/>
    <w:rsid w:val="008A2208"/>
    <w:rsid w:val="008A4087"/>
    <w:rsid w:val="008A445F"/>
    <w:rsid w:val="008A503F"/>
    <w:rsid w:val="008A5649"/>
    <w:rsid w:val="008A7E8F"/>
    <w:rsid w:val="008B4307"/>
    <w:rsid w:val="008B7750"/>
    <w:rsid w:val="008C205C"/>
    <w:rsid w:val="008C2FD9"/>
    <w:rsid w:val="008C36BC"/>
    <w:rsid w:val="008C44A4"/>
    <w:rsid w:val="008C4DCD"/>
    <w:rsid w:val="008C5011"/>
    <w:rsid w:val="008C6EAB"/>
    <w:rsid w:val="008C75F4"/>
    <w:rsid w:val="008C7B6F"/>
    <w:rsid w:val="008D1E97"/>
    <w:rsid w:val="008D276F"/>
    <w:rsid w:val="008D45AD"/>
    <w:rsid w:val="008D5F55"/>
    <w:rsid w:val="008D6AD1"/>
    <w:rsid w:val="008E5918"/>
    <w:rsid w:val="008E61FB"/>
    <w:rsid w:val="008F07D3"/>
    <w:rsid w:val="008F2C8B"/>
    <w:rsid w:val="008F5158"/>
    <w:rsid w:val="0090029A"/>
    <w:rsid w:val="00903317"/>
    <w:rsid w:val="0090568B"/>
    <w:rsid w:val="00905A08"/>
    <w:rsid w:val="00910935"/>
    <w:rsid w:val="00910DA2"/>
    <w:rsid w:val="00910F45"/>
    <w:rsid w:val="0091193F"/>
    <w:rsid w:val="00912435"/>
    <w:rsid w:val="009127C1"/>
    <w:rsid w:val="009143D8"/>
    <w:rsid w:val="00914D8B"/>
    <w:rsid w:val="00916959"/>
    <w:rsid w:val="00921D9F"/>
    <w:rsid w:val="009225AA"/>
    <w:rsid w:val="00923641"/>
    <w:rsid w:val="00925AF9"/>
    <w:rsid w:val="00925EA4"/>
    <w:rsid w:val="00927748"/>
    <w:rsid w:val="00927E01"/>
    <w:rsid w:val="009335B3"/>
    <w:rsid w:val="00933AB4"/>
    <w:rsid w:val="00935749"/>
    <w:rsid w:val="00936304"/>
    <w:rsid w:val="00936526"/>
    <w:rsid w:val="00937096"/>
    <w:rsid w:val="00937C0A"/>
    <w:rsid w:val="009409E9"/>
    <w:rsid w:val="0094713E"/>
    <w:rsid w:val="009522DB"/>
    <w:rsid w:val="00952726"/>
    <w:rsid w:val="00963752"/>
    <w:rsid w:val="00963A04"/>
    <w:rsid w:val="00966873"/>
    <w:rsid w:val="00967A9E"/>
    <w:rsid w:val="00970042"/>
    <w:rsid w:val="00970701"/>
    <w:rsid w:val="00971885"/>
    <w:rsid w:val="00973329"/>
    <w:rsid w:val="009758C2"/>
    <w:rsid w:val="009809E8"/>
    <w:rsid w:val="00982922"/>
    <w:rsid w:val="00983FAD"/>
    <w:rsid w:val="00986D74"/>
    <w:rsid w:val="009901AA"/>
    <w:rsid w:val="0099049E"/>
    <w:rsid w:val="00991408"/>
    <w:rsid w:val="00992387"/>
    <w:rsid w:val="00993D6D"/>
    <w:rsid w:val="00994E47"/>
    <w:rsid w:val="00995DA4"/>
    <w:rsid w:val="009A14BE"/>
    <w:rsid w:val="009A27C6"/>
    <w:rsid w:val="009A298C"/>
    <w:rsid w:val="009A2A24"/>
    <w:rsid w:val="009A4065"/>
    <w:rsid w:val="009A755F"/>
    <w:rsid w:val="009B0F11"/>
    <w:rsid w:val="009B11F1"/>
    <w:rsid w:val="009B1C82"/>
    <w:rsid w:val="009B2467"/>
    <w:rsid w:val="009B3EEB"/>
    <w:rsid w:val="009B428B"/>
    <w:rsid w:val="009B5312"/>
    <w:rsid w:val="009C0BC2"/>
    <w:rsid w:val="009C1D1F"/>
    <w:rsid w:val="009C290F"/>
    <w:rsid w:val="009C6243"/>
    <w:rsid w:val="009C6D4D"/>
    <w:rsid w:val="009C71B1"/>
    <w:rsid w:val="009D08D6"/>
    <w:rsid w:val="009D1046"/>
    <w:rsid w:val="009D48F9"/>
    <w:rsid w:val="009E0756"/>
    <w:rsid w:val="009E0764"/>
    <w:rsid w:val="009E08CA"/>
    <w:rsid w:val="009E194B"/>
    <w:rsid w:val="009E27F2"/>
    <w:rsid w:val="009E476E"/>
    <w:rsid w:val="009E758F"/>
    <w:rsid w:val="009F11D0"/>
    <w:rsid w:val="009F1341"/>
    <w:rsid w:val="009F1FFD"/>
    <w:rsid w:val="009F478D"/>
    <w:rsid w:val="009F5B0C"/>
    <w:rsid w:val="009F5C8C"/>
    <w:rsid w:val="009F63A5"/>
    <w:rsid w:val="00A0062B"/>
    <w:rsid w:val="00A02F5D"/>
    <w:rsid w:val="00A04016"/>
    <w:rsid w:val="00A041F5"/>
    <w:rsid w:val="00A0461E"/>
    <w:rsid w:val="00A048F4"/>
    <w:rsid w:val="00A04EBD"/>
    <w:rsid w:val="00A05604"/>
    <w:rsid w:val="00A056CE"/>
    <w:rsid w:val="00A05DEA"/>
    <w:rsid w:val="00A1008F"/>
    <w:rsid w:val="00A11F5E"/>
    <w:rsid w:val="00A12D86"/>
    <w:rsid w:val="00A150A7"/>
    <w:rsid w:val="00A1545D"/>
    <w:rsid w:val="00A16980"/>
    <w:rsid w:val="00A16D98"/>
    <w:rsid w:val="00A1718E"/>
    <w:rsid w:val="00A17355"/>
    <w:rsid w:val="00A21242"/>
    <w:rsid w:val="00A21698"/>
    <w:rsid w:val="00A22716"/>
    <w:rsid w:val="00A25892"/>
    <w:rsid w:val="00A262FC"/>
    <w:rsid w:val="00A27422"/>
    <w:rsid w:val="00A3126B"/>
    <w:rsid w:val="00A32F70"/>
    <w:rsid w:val="00A33D6F"/>
    <w:rsid w:val="00A35CF6"/>
    <w:rsid w:val="00A365A8"/>
    <w:rsid w:val="00A403A8"/>
    <w:rsid w:val="00A4190C"/>
    <w:rsid w:val="00A448E4"/>
    <w:rsid w:val="00A44970"/>
    <w:rsid w:val="00A456CA"/>
    <w:rsid w:val="00A45A35"/>
    <w:rsid w:val="00A47392"/>
    <w:rsid w:val="00A531E4"/>
    <w:rsid w:val="00A5496D"/>
    <w:rsid w:val="00A5739D"/>
    <w:rsid w:val="00A61870"/>
    <w:rsid w:val="00A61CC2"/>
    <w:rsid w:val="00A63B25"/>
    <w:rsid w:val="00A63C55"/>
    <w:rsid w:val="00A65C7E"/>
    <w:rsid w:val="00A6678F"/>
    <w:rsid w:val="00A66817"/>
    <w:rsid w:val="00A75AE5"/>
    <w:rsid w:val="00A75DBD"/>
    <w:rsid w:val="00A76036"/>
    <w:rsid w:val="00A8022E"/>
    <w:rsid w:val="00A81D45"/>
    <w:rsid w:val="00A8447A"/>
    <w:rsid w:val="00A84ACD"/>
    <w:rsid w:val="00A905FD"/>
    <w:rsid w:val="00A90A01"/>
    <w:rsid w:val="00A91A75"/>
    <w:rsid w:val="00A9283B"/>
    <w:rsid w:val="00A9434B"/>
    <w:rsid w:val="00A94A41"/>
    <w:rsid w:val="00AA018A"/>
    <w:rsid w:val="00AA0E75"/>
    <w:rsid w:val="00AA1FDE"/>
    <w:rsid w:val="00AA21E8"/>
    <w:rsid w:val="00AA2EB1"/>
    <w:rsid w:val="00AA346E"/>
    <w:rsid w:val="00AA7F80"/>
    <w:rsid w:val="00AB0DAD"/>
    <w:rsid w:val="00AB1260"/>
    <w:rsid w:val="00AB45F5"/>
    <w:rsid w:val="00AB4E64"/>
    <w:rsid w:val="00AC016D"/>
    <w:rsid w:val="00AC2257"/>
    <w:rsid w:val="00AC23AB"/>
    <w:rsid w:val="00AC4239"/>
    <w:rsid w:val="00AC4C89"/>
    <w:rsid w:val="00AC5979"/>
    <w:rsid w:val="00AD187B"/>
    <w:rsid w:val="00AD352C"/>
    <w:rsid w:val="00AD37BD"/>
    <w:rsid w:val="00AD52A7"/>
    <w:rsid w:val="00AE1F36"/>
    <w:rsid w:val="00AE2040"/>
    <w:rsid w:val="00AE26BA"/>
    <w:rsid w:val="00AE389F"/>
    <w:rsid w:val="00AE45A1"/>
    <w:rsid w:val="00AE4640"/>
    <w:rsid w:val="00AE488A"/>
    <w:rsid w:val="00AE75FE"/>
    <w:rsid w:val="00AF2533"/>
    <w:rsid w:val="00AF265D"/>
    <w:rsid w:val="00AF31C2"/>
    <w:rsid w:val="00B0260E"/>
    <w:rsid w:val="00B0288F"/>
    <w:rsid w:val="00B0489A"/>
    <w:rsid w:val="00B04EC4"/>
    <w:rsid w:val="00B054F4"/>
    <w:rsid w:val="00B05578"/>
    <w:rsid w:val="00B07223"/>
    <w:rsid w:val="00B107F8"/>
    <w:rsid w:val="00B118C3"/>
    <w:rsid w:val="00B126AD"/>
    <w:rsid w:val="00B136DE"/>
    <w:rsid w:val="00B167D6"/>
    <w:rsid w:val="00B16A81"/>
    <w:rsid w:val="00B20659"/>
    <w:rsid w:val="00B20FCA"/>
    <w:rsid w:val="00B22C4F"/>
    <w:rsid w:val="00B22E8C"/>
    <w:rsid w:val="00B24DE9"/>
    <w:rsid w:val="00B264BC"/>
    <w:rsid w:val="00B268A6"/>
    <w:rsid w:val="00B27859"/>
    <w:rsid w:val="00B304C5"/>
    <w:rsid w:val="00B31AB5"/>
    <w:rsid w:val="00B32299"/>
    <w:rsid w:val="00B334D3"/>
    <w:rsid w:val="00B33784"/>
    <w:rsid w:val="00B36D7F"/>
    <w:rsid w:val="00B41D3F"/>
    <w:rsid w:val="00B434A0"/>
    <w:rsid w:val="00B44595"/>
    <w:rsid w:val="00B46994"/>
    <w:rsid w:val="00B47457"/>
    <w:rsid w:val="00B50035"/>
    <w:rsid w:val="00B519EF"/>
    <w:rsid w:val="00B5208C"/>
    <w:rsid w:val="00B52259"/>
    <w:rsid w:val="00B532E1"/>
    <w:rsid w:val="00B5351E"/>
    <w:rsid w:val="00B543CA"/>
    <w:rsid w:val="00B55761"/>
    <w:rsid w:val="00B56392"/>
    <w:rsid w:val="00B632FD"/>
    <w:rsid w:val="00B66F8E"/>
    <w:rsid w:val="00B7020A"/>
    <w:rsid w:val="00B7051D"/>
    <w:rsid w:val="00B70C27"/>
    <w:rsid w:val="00B7155B"/>
    <w:rsid w:val="00B73BF1"/>
    <w:rsid w:val="00B73C54"/>
    <w:rsid w:val="00B73F6C"/>
    <w:rsid w:val="00B7406D"/>
    <w:rsid w:val="00B758D0"/>
    <w:rsid w:val="00B766B4"/>
    <w:rsid w:val="00B77034"/>
    <w:rsid w:val="00B77161"/>
    <w:rsid w:val="00B77F51"/>
    <w:rsid w:val="00B805AD"/>
    <w:rsid w:val="00B8073C"/>
    <w:rsid w:val="00B82AB6"/>
    <w:rsid w:val="00B82B03"/>
    <w:rsid w:val="00B83D51"/>
    <w:rsid w:val="00B84300"/>
    <w:rsid w:val="00B87275"/>
    <w:rsid w:val="00B90816"/>
    <w:rsid w:val="00B94773"/>
    <w:rsid w:val="00B94BC0"/>
    <w:rsid w:val="00B94FA7"/>
    <w:rsid w:val="00B962C8"/>
    <w:rsid w:val="00BA3265"/>
    <w:rsid w:val="00BA3314"/>
    <w:rsid w:val="00BA3BCE"/>
    <w:rsid w:val="00BA3FE6"/>
    <w:rsid w:val="00BA436C"/>
    <w:rsid w:val="00BA5B25"/>
    <w:rsid w:val="00BA5E8E"/>
    <w:rsid w:val="00BA6375"/>
    <w:rsid w:val="00BB0EFE"/>
    <w:rsid w:val="00BB25D1"/>
    <w:rsid w:val="00BB2F5D"/>
    <w:rsid w:val="00BB60AD"/>
    <w:rsid w:val="00BB7F0A"/>
    <w:rsid w:val="00BC066A"/>
    <w:rsid w:val="00BC23B9"/>
    <w:rsid w:val="00BC381F"/>
    <w:rsid w:val="00BC4298"/>
    <w:rsid w:val="00BC4DE2"/>
    <w:rsid w:val="00BC7AB5"/>
    <w:rsid w:val="00BC7C25"/>
    <w:rsid w:val="00BD04E9"/>
    <w:rsid w:val="00BD5A7F"/>
    <w:rsid w:val="00BD6040"/>
    <w:rsid w:val="00BE04AE"/>
    <w:rsid w:val="00BE06A2"/>
    <w:rsid w:val="00BE079B"/>
    <w:rsid w:val="00BE4EBE"/>
    <w:rsid w:val="00BE7A0F"/>
    <w:rsid w:val="00BF03B4"/>
    <w:rsid w:val="00C01039"/>
    <w:rsid w:val="00C01088"/>
    <w:rsid w:val="00C04799"/>
    <w:rsid w:val="00C0520C"/>
    <w:rsid w:val="00C06C27"/>
    <w:rsid w:val="00C11E2A"/>
    <w:rsid w:val="00C13C60"/>
    <w:rsid w:val="00C150AC"/>
    <w:rsid w:val="00C2248E"/>
    <w:rsid w:val="00C23A3E"/>
    <w:rsid w:val="00C24046"/>
    <w:rsid w:val="00C243FD"/>
    <w:rsid w:val="00C25125"/>
    <w:rsid w:val="00C25472"/>
    <w:rsid w:val="00C25DA3"/>
    <w:rsid w:val="00C26CE6"/>
    <w:rsid w:val="00C26E55"/>
    <w:rsid w:val="00C274A6"/>
    <w:rsid w:val="00C30EEC"/>
    <w:rsid w:val="00C315DD"/>
    <w:rsid w:val="00C336AF"/>
    <w:rsid w:val="00C33D69"/>
    <w:rsid w:val="00C370F8"/>
    <w:rsid w:val="00C37332"/>
    <w:rsid w:val="00C4170E"/>
    <w:rsid w:val="00C41A25"/>
    <w:rsid w:val="00C42343"/>
    <w:rsid w:val="00C4333D"/>
    <w:rsid w:val="00C45334"/>
    <w:rsid w:val="00C45B27"/>
    <w:rsid w:val="00C46F55"/>
    <w:rsid w:val="00C51385"/>
    <w:rsid w:val="00C52B70"/>
    <w:rsid w:val="00C55F0B"/>
    <w:rsid w:val="00C6118A"/>
    <w:rsid w:val="00C618A0"/>
    <w:rsid w:val="00C6306C"/>
    <w:rsid w:val="00C63FE1"/>
    <w:rsid w:val="00C6427C"/>
    <w:rsid w:val="00C66879"/>
    <w:rsid w:val="00C72693"/>
    <w:rsid w:val="00C75207"/>
    <w:rsid w:val="00C75CDA"/>
    <w:rsid w:val="00C7607D"/>
    <w:rsid w:val="00C8003C"/>
    <w:rsid w:val="00C807EC"/>
    <w:rsid w:val="00C830BB"/>
    <w:rsid w:val="00C834EA"/>
    <w:rsid w:val="00C86B63"/>
    <w:rsid w:val="00C9177F"/>
    <w:rsid w:val="00C91A48"/>
    <w:rsid w:val="00C93BEB"/>
    <w:rsid w:val="00C94108"/>
    <w:rsid w:val="00C9473A"/>
    <w:rsid w:val="00C97617"/>
    <w:rsid w:val="00CA0542"/>
    <w:rsid w:val="00CA0ECC"/>
    <w:rsid w:val="00CA1801"/>
    <w:rsid w:val="00CA3101"/>
    <w:rsid w:val="00CA440C"/>
    <w:rsid w:val="00CA4E11"/>
    <w:rsid w:val="00CB2055"/>
    <w:rsid w:val="00CB28EC"/>
    <w:rsid w:val="00CB296A"/>
    <w:rsid w:val="00CB33D9"/>
    <w:rsid w:val="00CB4E99"/>
    <w:rsid w:val="00CC15CC"/>
    <w:rsid w:val="00CC2537"/>
    <w:rsid w:val="00CC2F8D"/>
    <w:rsid w:val="00CC4442"/>
    <w:rsid w:val="00CD2D16"/>
    <w:rsid w:val="00CD533F"/>
    <w:rsid w:val="00CE0A0D"/>
    <w:rsid w:val="00CE50DA"/>
    <w:rsid w:val="00CE67F4"/>
    <w:rsid w:val="00CF0CD5"/>
    <w:rsid w:val="00CF3D5F"/>
    <w:rsid w:val="00CF477C"/>
    <w:rsid w:val="00CF60C5"/>
    <w:rsid w:val="00CF732A"/>
    <w:rsid w:val="00D01B61"/>
    <w:rsid w:val="00D022BD"/>
    <w:rsid w:val="00D03072"/>
    <w:rsid w:val="00D03713"/>
    <w:rsid w:val="00D0386E"/>
    <w:rsid w:val="00D05646"/>
    <w:rsid w:val="00D065C4"/>
    <w:rsid w:val="00D0792F"/>
    <w:rsid w:val="00D10BF6"/>
    <w:rsid w:val="00D1123E"/>
    <w:rsid w:val="00D164B1"/>
    <w:rsid w:val="00D17547"/>
    <w:rsid w:val="00D17654"/>
    <w:rsid w:val="00D17CA9"/>
    <w:rsid w:val="00D23CDC"/>
    <w:rsid w:val="00D24F85"/>
    <w:rsid w:val="00D25B46"/>
    <w:rsid w:val="00D25CD3"/>
    <w:rsid w:val="00D25FF8"/>
    <w:rsid w:val="00D26F09"/>
    <w:rsid w:val="00D26F2E"/>
    <w:rsid w:val="00D27976"/>
    <w:rsid w:val="00D3034D"/>
    <w:rsid w:val="00D31A57"/>
    <w:rsid w:val="00D36B7B"/>
    <w:rsid w:val="00D43CFC"/>
    <w:rsid w:val="00D4429B"/>
    <w:rsid w:val="00D4572B"/>
    <w:rsid w:val="00D46A4F"/>
    <w:rsid w:val="00D46ED2"/>
    <w:rsid w:val="00D4781D"/>
    <w:rsid w:val="00D5081A"/>
    <w:rsid w:val="00D54C5A"/>
    <w:rsid w:val="00D5505C"/>
    <w:rsid w:val="00D67E54"/>
    <w:rsid w:val="00D724A8"/>
    <w:rsid w:val="00D734B3"/>
    <w:rsid w:val="00D74098"/>
    <w:rsid w:val="00D85BCE"/>
    <w:rsid w:val="00D965C5"/>
    <w:rsid w:val="00DA0227"/>
    <w:rsid w:val="00DA0A19"/>
    <w:rsid w:val="00DA19E0"/>
    <w:rsid w:val="00DA1BBF"/>
    <w:rsid w:val="00DA5E09"/>
    <w:rsid w:val="00DA6E92"/>
    <w:rsid w:val="00DA7E1F"/>
    <w:rsid w:val="00DA7F1B"/>
    <w:rsid w:val="00DB0A35"/>
    <w:rsid w:val="00DB18EB"/>
    <w:rsid w:val="00DB490D"/>
    <w:rsid w:val="00DB4EB7"/>
    <w:rsid w:val="00DC166B"/>
    <w:rsid w:val="00DC3E6E"/>
    <w:rsid w:val="00DC46AF"/>
    <w:rsid w:val="00DC5CCF"/>
    <w:rsid w:val="00DC7DB1"/>
    <w:rsid w:val="00DD0803"/>
    <w:rsid w:val="00DD2952"/>
    <w:rsid w:val="00DD4594"/>
    <w:rsid w:val="00DD5ADF"/>
    <w:rsid w:val="00DD799A"/>
    <w:rsid w:val="00DE0262"/>
    <w:rsid w:val="00DE099F"/>
    <w:rsid w:val="00DE2AE2"/>
    <w:rsid w:val="00DE74BD"/>
    <w:rsid w:val="00E00421"/>
    <w:rsid w:val="00E00BEE"/>
    <w:rsid w:val="00E03F81"/>
    <w:rsid w:val="00E049D7"/>
    <w:rsid w:val="00E05A27"/>
    <w:rsid w:val="00E0662A"/>
    <w:rsid w:val="00E07CE0"/>
    <w:rsid w:val="00E10CBE"/>
    <w:rsid w:val="00E11891"/>
    <w:rsid w:val="00E12343"/>
    <w:rsid w:val="00E129BD"/>
    <w:rsid w:val="00E169AB"/>
    <w:rsid w:val="00E202DF"/>
    <w:rsid w:val="00E20614"/>
    <w:rsid w:val="00E20D24"/>
    <w:rsid w:val="00E273A9"/>
    <w:rsid w:val="00E308C0"/>
    <w:rsid w:val="00E30D33"/>
    <w:rsid w:val="00E313A6"/>
    <w:rsid w:val="00E32295"/>
    <w:rsid w:val="00E351C4"/>
    <w:rsid w:val="00E35E39"/>
    <w:rsid w:val="00E37E74"/>
    <w:rsid w:val="00E43C23"/>
    <w:rsid w:val="00E53283"/>
    <w:rsid w:val="00E55BFB"/>
    <w:rsid w:val="00E56746"/>
    <w:rsid w:val="00E573BD"/>
    <w:rsid w:val="00E6144E"/>
    <w:rsid w:val="00E633FC"/>
    <w:rsid w:val="00E63698"/>
    <w:rsid w:val="00E63AE3"/>
    <w:rsid w:val="00E65BEE"/>
    <w:rsid w:val="00E668D3"/>
    <w:rsid w:val="00E7009D"/>
    <w:rsid w:val="00E70567"/>
    <w:rsid w:val="00E70602"/>
    <w:rsid w:val="00E73893"/>
    <w:rsid w:val="00E74362"/>
    <w:rsid w:val="00E760B7"/>
    <w:rsid w:val="00E760DE"/>
    <w:rsid w:val="00E77211"/>
    <w:rsid w:val="00E7793C"/>
    <w:rsid w:val="00E8013B"/>
    <w:rsid w:val="00E803F5"/>
    <w:rsid w:val="00E82D16"/>
    <w:rsid w:val="00E8350A"/>
    <w:rsid w:val="00E84FA5"/>
    <w:rsid w:val="00E855A2"/>
    <w:rsid w:val="00E90F86"/>
    <w:rsid w:val="00E911F2"/>
    <w:rsid w:val="00E93BFA"/>
    <w:rsid w:val="00E953FA"/>
    <w:rsid w:val="00E97B38"/>
    <w:rsid w:val="00EA11A5"/>
    <w:rsid w:val="00EA29D2"/>
    <w:rsid w:val="00EA2E11"/>
    <w:rsid w:val="00EA3812"/>
    <w:rsid w:val="00EA3C31"/>
    <w:rsid w:val="00EA3D75"/>
    <w:rsid w:val="00EA7200"/>
    <w:rsid w:val="00EB1398"/>
    <w:rsid w:val="00EB1D63"/>
    <w:rsid w:val="00EB2D05"/>
    <w:rsid w:val="00EB5758"/>
    <w:rsid w:val="00EB5892"/>
    <w:rsid w:val="00EB5FD9"/>
    <w:rsid w:val="00EB7022"/>
    <w:rsid w:val="00EB77DD"/>
    <w:rsid w:val="00EC0B01"/>
    <w:rsid w:val="00EC1106"/>
    <w:rsid w:val="00EC3373"/>
    <w:rsid w:val="00EC3F5C"/>
    <w:rsid w:val="00EC5B70"/>
    <w:rsid w:val="00EC6A96"/>
    <w:rsid w:val="00EC6E61"/>
    <w:rsid w:val="00EC702C"/>
    <w:rsid w:val="00ED0397"/>
    <w:rsid w:val="00ED0517"/>
    <w:rsid w:val="00ED1D2D"/>
    <w:rsid w:val="00ED20DC"/>
    <w:rsid w:val="00ED678E"/>
    <w:rsid w:val="00EE17DC"/>
    <w:rsid w:val="00EE253E"/>
    <w:rsid w:val="00EE4CD0"/>
    <w:rsid w:val="00EE547A"/>
    <w:rsid w:val="00EE6E67"/>
    <w:rsid w:val="00EE731B"/>
    <w:rsid w:val="00EE7F4B"/>
    <w:rsid w:val="00EF1DCB"/>
    <w:rsid w:val="00EF241D"/>
    <w:rsid w:val="00EF2489"/>
    <w:rsid w:val="00EF3B98"/>
    <w:rsid w:val="00EF3F5B"/>
    <w:rsid w:val="00EF4249"/>
    <w:rsid w:val="00EF47A7"/>
    <w:rsid w:val="00EF68EF"/>
    <w:rsid w:val="00EF6EB8"/>
    <w:rsid w:val="00EF7312"/>
    <w:rsid w:val="00F0106F"/>
    <w:rsid w:val="00F022FC"/>
    <w:rsid w:val="00F039B4"/>
    <w:rsid w:val="00F03BDD"/>
    <w:rsid w:val="00F065A1"/>
    <w:rsid w:val="00F077F6"/>
    <w:rsid w:val="00F07AED"/>
    <w:rsid w:val="00F14006"/>
    <w:rsid w:val="00F146FD"/>
    <w:rsid w:val="00F14783"/>
    <w:rsid w:val="00F17771"/>
    <w:rsid w:val="00F217A6"/>
    <w:rsid w:val="00F2798F"/>
    <w:rsid w:val="00F27ABF"/>
    <w:rsid w:val="00F31A69"/>
    <w:rsid w:val="00F32B69"/>
    <w:rsid w:val="00F33329"/>
    <w:rsid w:val="00F340AC"/>
    <w:rsid w:val="00F358E8"/>
    <w:rsid w:val="00F35AFF"/>
    <w:rsid w:val="00F36686"/>
    <w:rsid w:val="00F369D9"/>
    <w:rsid w:val="00F37AB2"/>
    <w:rsid w:val="00F412FC"/>
    <w:rsid w:val="00F42E77"/>
    <w:rsid w:val="00F443C7"/>
    <w:rsid w:val="00F44A64"/>
    <w:rsid w:val="00F44C9B"/>
    <w:rsid w:val="00F46892"/>
    <w:rsid w:val="00F46ED7"/>
    <w:rsid w:val="00F54ABE"/>
    <w:rsid w:val="00F55774"/>
    <w:rsid w:val="00F55C56"/>
    <w:rsid w:val="00F62472"/>
    <w:rsid w:val="00F62CEC"/>
    <w:rsid w:val="00F63738"/>
    <w:rsid w:val="00F63D97"/>
    <w:rsid w:val="00F65478"/>
    <w:rsid w:val="00F654CD"/>
    <w:rsid w:val="00F65E9F"/>
    <w:rsid w:val="00F6640D"/>
    <w:rsid w:val="00F707CA"/>
    <w:rsid w:val="00F72E54"/>
    <w:rsid w:val="00F73D0B"/>
    <w:rsid w:val="00F740E5"/>
    <w:rsid w:val="00F74867"/>
    <w:rsid w:val="00F74D7D"/>
    <w:rsid w:val="00F76ED1"/>
    <w:rsid w:val="00F80B01"/>
    <w:rsid w:val="00F81026"/>
    <w:rsid w:val="00F8263A"/>
    <w:rsid w:val="00F86422"/>
    <w:rsid w:val="00F903E0"/>
    <w:rsid w:val="00F93A68"/>
    <w:rsid w:val="00F94E0B"/>
    <w:rsid w:val="00F965C4"/>
    <w:rsid w:val="00F97B82"/>
    <w:rsid w:val="00FA0A4F"/>
    <w:rsid w:val="00FA0FA2"/>
    <w:rsid w:val="00FA4564"/>
    <w:rsid w:val="00FA696D"/>
    <w:rsid w:val="00FA6DD1"/>
    <w:rsid w:val="00FB2679"/>
    <w:rsid w:val="00FB2D07"/>
    <w:rsid w:val="00FB35D7"/>
    <w:rsid w:val="00FB52AF"/>
    <w:rsid w:val="00FC39BD"/>
    <w:rsid w:val="00FC5DAE"/>
    <w:rsid w:val="00FD0663"/>
    <w:rsid w:val="00FD1134"/>
    <w:rsid w:val="00FD28F9"/>
    <w:rsid w:val="00FD30DC"/>
    <w:rsid w:val="00FD4BAD"/>
    <w:rsid w:val="00FD57CA"/>
    <w:rsid w:val="00FD66B3"/>
    <w:rsid w:val="00FD7594"/>
    <w:rsid w:val="00FD7910"/>
    <w:rsid w:val="00FE30CB"/>
    <w:rsid w:val="00FE3914"/>
    <w:rsid w:val="00FE664B"/>
    <w:rsid w:val="00FE6A34"/>
    <w:rsid w:val="00FE6BB9"/>
    <w:rsid w:val="00FF0AC8"/>
    <w:rsid w:val="00FF24D6"/>
    <w:rsid w:val="00FF259E"/>
    <w:rsid w:val="00FF3628"/>
    <w:rsid w:val="00FF388C"/>
    <w:rsid w:val="00FF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7F7EA"/>
  <w15:chartTrackingRefBased/>
  <w15:docId w15:val="{2941BB0A-4CBA-421F-BB2A-A458B6A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1409"/>
    <w:rPr>
      <w:rFonts w:ascii="Times New Roman" w:hAnsi="Times New Roman"/>
    </w:rPr>
  </w:style>
  <w:style w:type="paragraph" w:styleId="Heading1">
    <w:name w:val="heading 1"/>
    <w:basedOn w:val="Normal"/>
    <w:next w:val="Normal"/>
    <w:link w:val="Heading1Char"/>
    <w:uiPriority w:val="9"/>
    <w:qFormat/>
    <w:rsid w:val="004E3B85"/>
    <w:pPr>
      <w:keepNext/>
      <w:keepLines/>
      <w:spacing w:before="360" w:after="80"/>
      <w:outlineLvl w:val="0"/>
    </w:pPr>
    <w:rPr>
      <w:rFonts w:eastAsiaTheme="majorEastAsia" w:cstheme="majorBidi"/>
      <w:b/>
      <w:szCs w:val="40"/>
      <w:u w:val="single"/>
    </w:rPr>
  </w:style>
  <w:style w:type="paragraph" w:styleId="Heading2">
    <w:name w:val="heading 2"/>
    <w:basedOn w:val="Normal"/>
    <w:next w:val="Normal"/>
    <w:link w:val="Heading2Char"/>
    <w:uiPriority w:val="9"/>
    <w:unhideWhenUsed/>
    <w:qFormat/>
    <w:rsid w:val="006B1CF2"/>
    <w:pPr>
      <w:keepNext/>
      <w:keepLines/>
      <w:tabs>
        <w:tab w:val="left" w:pos="1080"/>
      </w:tabs>
      <w:spacing w:before="160" w:after="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E760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60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60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6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0D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E3B85"/>
    <w:rPr>
      <w:rFonts w:ascii="Times New Roman" w:hAnsi="Times New Roman" w:eastAsiaTheme="majorEastAsia" w:cstheme="majorBidi"/>
      <w:b/>
      <w:szCs w:val="40"/>
      <w:u w:val="single"/>
    </w:rPr>
  </w:style>
  <w:style w:type="character" w:styleId="Heading2Char" w:customStyle="1">
    <w:name w:val="Heading 2 Char"/>
    <w:basedOn w:val="DefaultParagraphFont"/>
    <w:link w:val="Heading2"/>
    <w:uiPriority w:val="9"/>
    <w:rsid w:val="006B1CF2"/>
    <w:rPr>
      <w:rFonts w:ascii="Times New Roman" w:hAnsi="Times New Roman" w:eastAsiaTheme="majorEastAsia" w:cstheme="majorBidi"/>
      <w:b/>
      <w:szCs w:val="32"/>
    </w:rPr>
  </w:style>
  <w:style w:type="character" w:styleId="Heading3Char" w:customStyle="1">
    <w:name w:val="Heading 3 Char"/>
    <w:basedOn w:val="DefaultParagraphFont"/>
    <w:link w:val="Heading3"/>
    <w:uiPriority w:val="9"/>
    <w:semiHidden/>
    <w:rsid w:val="00E760DE"/>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E760DE"/>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E760DE"/>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E760D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760D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760D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760DE"/>
    <w:rPr>
      <w:rFonts w:eastAsiaTheme="majorEastAsia" w:cstheme="majorBidi"/>
      <w:color w:val="272727" w:themeColor="text1" w:themeTint="D8"/>
    </w:rPr>
  </w:style>
  <w:style w:type="paragraph" w:styleId="Title">
    <w:name w:val="Title"/>
    <w:basedOn w:val="Normal"/>
    <w:next w:val="Normal"/>
    <w:link w:val="TitleChar"/>
    <w:uiPriority w:val="10"/>
    <w:qFormat/>
    <w:rsid w:val="00E760D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760D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760D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76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0DE"/>
    <w:pPr>
      <w:spacing w:before="160"/>
      <w:jc w:val="center"/>
    </w:pPr>
    <w:rPr>
      <w:i/>
      <w:iCs/>
      <w:color w:val="404040" w:themeColor="text1" w:themeTint="BF"/>
    </w:rPr>
  </w:style>
  <w:style w:type="character" w:styleId="QuoteChar" w:customStyle="1">
    <w:name w:val="Quote Char"/>
    <w:basedOn w:val="DefaultParagraphFont"/>
    <w:link w:val="Quote"/>
    <w:uiPriority w:val="29"/>
    <w:rsid w:val="00E760DE"/>
    <w:rPr>
      <w:i/>
      <w:iCs/>
      <w:color w:val="404040" w:themeColor="text1" w:themeTint="BF"/>
    </w:rPr>
  </w:style>
  <w:style w:type="paragraph" w:styleId="ListParagraph">
    <w:name w:val="List Paragraph"/>
    <w:basedOn w:val="Normal"/>
    <w:uiPriority w:val="34"/>
    <w:qFormat/>
    <w:rsid w:val="00E760DE"/>
    <w:pPr>
      <w:ind w:left="720"/>
      <w:contextualSpacing/>
    </w:pPr>
  </w:style>
  <w:style w:type="character" w:styleId="IntenseEmphasis">
    <w:name w:val="Intense Emphasis"/>
    <w:basedOn w:val="DefaultParagraphFont"/>
    <w:uiPriority w:val="21"/>
    <w:qFormat/>
    <w:rsid w:val="00E760DE"/>
    <w:rPr>
      <w:i/>
      <w:iCs/>
      <w:color w:val="2F5496" w:themeColor="accent1" w:themeShade="BF"/>
    </w:rPr>
  </w:style>
  <w:style w:type="paragraph" w:styleId="IntenseQuote">
    <w:name w:val="Intense Quote"/>
    <w:basedOn w:val="Normal"/>
    <w:next w:val="Normal"/>
    <w:link w:val="IntenseQuoteChar"/>
    <w:uiPriority w:val="30"/>
    <w:qFormat/>
    <w:rsid w:val="00E760D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E760DE"/>
    <w:rPr>
      <w:i/>
      <w:iCs/>
      <w:color w:val="2F5496" w:themeColor="accent1" w:themeShade="BF"/>
    </w:rPr>
  </w:style>
  <w:style w:type="character" w:styleId="IntenseReference">
    <w:name w:val="Intense Reference"/>
    <w:basedOn w:val="DefaultParagraphFont"/>
    <w:uiPriority w:val="32"/>
    <w:qFormat/>
    <w:rsid w:val="00E760DE"/>
    <w:rPr>
      <w:b/>
      <w:bCs/>
      <w:smallCaps/>
      <w:color w:val="2F5496" w:themeColor="accent1" w:themeShade="BF"/>
      <w:spacing w:val="5"/>
    </w:rPr>
  </w:style>
  <w:style w:type="paragraph" w:styleId="Header">
    <w:name w:val="header"/>
    <w:basedOn w:val="Normal"/>
    <w:link w:val="HeaderChar"/>
    <w:uiPriority w:val="99"/>
    <w:unhideWhenUsed/>
    <w:rsid w:val="00937C0A"/>
    <w:pPr>
      <w:tabs>
        <w:tab w:val="center" w:pos="4680"/>
        <w:tab w:val="right" w:pos="9360"/>
      </w:tabs>
      <w:spacing w:after="0" w:line="240" w:lineRule="auto"/>
    </w:pPr>
  </w:style>
  <w:style w:type="character" w:styleId="HeaderChar" w:customStyle="1">
    <w:name w:val="Header Char"/>
    <w:basedOn w:val="DefaultParagraphFont"/>
    <w:link w:val="Header"/>
    <w:uiPriority w:val="99"/>
    <w:rsid w:val="00937C0A"/>
  </w:style>
  <w:style w:type="paragraph" w:styleId="Footer">
    <w:name w:val="footer"/>
    <w:basedOn w:val="Normal"/>
    <w:link w:val="FooterChar"/>
    <w:uiPriority w:val="99"/>
    <w:unhideWhenUsed/>
    <w:rsid w:val="00937C0A"/>
    <w:pPr>
      <w:tabs>
        <w:tab w:val="center" w:pos="4680"/>
        <w:tab w:val="right" w:pos="9360"/>
      </w:tabs>
      <w:spacing w:after="0" w:line="240" w:lineRule="auto"/>
    </w:pPr>
  </w:style>
  <w:style w:type="character" w:styleId="FooterChar" w:customStyle="1">
    <w:name w:val="Footer Char"/>
    <w:basedOn w:val="DefaultParagraphFont"/>
    <w:link w:val="Footer"/>
    <w:uiPriority w:val="99"/>
    <w:rsid w:val="00937C0A"/>
  </w:style>
  <w:style w:type="paragraph" w:styleId="Revision">
    <w:name w:val="Revision"/>
    <w:hidden/>
    <w:uiPriority w:val="99"/>
    <w:semiHidden/>
    <w:rsid w:val="00EA3C31"/>
    <w:pPr>
      <w:spacing w:after="0" w:line="240" w:lineRule="auto"/>
    </w:pPr>
  </w:style>
  <w:style w:type="character" w:styleId="CommentReference">
    <w:name w:val="annotation reference"/>
    <w:basedOn w:val="DefaultParagraphFont"/>
    <w:uiPriority w:val="99"/>
    <w:semiHidden/>
    <w:unhideWhenUsed/>
    <w:rsid w:val="00451E8C"/>
    <w:rPr>
      <w:sz w:val="16"/>
      <w:szCs w:val="16"/>
    </w:rPr>
  </w:style>
  <w:style w:type="paragraph" w:styleId="CommentText">
    <w:name w:val="annotation text"/>
    <w:basedOn w:val="Normal"/>
    <w:link w:val="CommentTextChar"/>
    <w:uiPriority w:val="99"/>
    <w:unhideWhenUsed/>
    <w:rsid w:val="00451E8C"/>
    <w:pPr>
      <w:spacing w:line="240" w:lineRule="auto"/>
    </w:pPr>
    <w:rPr>
      <w:sz w:val="20"/>
      <w:szCs w:val="20"/>
    </w:rPr>
  </w:style>
  <w:style w:type="character" w:styleId="CommentTextChar" w:customStyle="1">
    <w:name w:val="Comment Text Char"/>
    <w:basedOn w:val="DefaultParagraphFont"/>
    <w:link w:val="CommentText"/>
    <w:uiPriority w:val="99"/>
    <w:rsid w:val="00451E8C"/>
    <w:rPr>
      <w:sz w:val="20"/>
      <w:szCs w:val="20"/>
    </w:rPr>
  </w:style>
  <w:style w:type="paragraph" w:styleId="CommentSubject">
    <w:name w:val="annotation subject"/>
    <w:basedOn w:val="CommentText"/>
    <w:next w:val="CommentText"/>
    <w:link w:val="CommentSubjectChar"/>
    <w:uiPriority w:val="99"/>
    <w:semiHidden/>
    <w:unhideWhenUsed/>
    <w:rsid w:val="00451E8C"/>
    <w:rPr>
      <w:b/>
      <w:bCs/>
    </w:rPr>
  </w:style>
  <w:style w:type="character" w:styleId="CommentSubjectChar" w:customStyle="1">
    <w:name w:val="Comment Subject Char"/>
    <w:basedOn w:val="CommentTextChar"/>
    <w:link w:val="CommentSubject"/>
    <w:uiPriority w:val="99"/>
    <w:semiHidden/>
    <w:rsid w:val="00451E8C"/>
    <w:rPr>
      <w:b/>
      <w:bCs/>
      <w:sz w:val="20"/>
      <w:szCs w:val="20"/>
    </w:rPr>
  </w:style>
  <w:style w:type="character" w:styleId="Hyperlink">
    <w:name w:val="Hyperlink"/>
    <w:basedOn w:val="DefaultParagraphFont"/>
    <w:uiPriority w:val="99"/>
    <w:unhideWhenUsed/>
    <w:rsid w:val="00BB25D1"/>
    <w:rPr>
      <w:color w:val="0563C1" w:themeColor="hyperlink"/>
      <w:u w:val="single"/>
    </w:rPr>
  </w:style>
  <w:style w:type="character" w:styleId="UnresolvedMention">
    <w:name w:val="Unresolved Mention"/>
    <w:basedOn w:val="DefaultParagraphFont"/>
    <w:uiPriority w:val="99"/>
    <w:semiHidden/>
    <w:unhideWhenUsed/>
    <w:rsid w:val="00BB25D1"/>
    <w:rPr>
      <w:color w:val="605E5C"/>
      <w:shd w:val="clear" w:color="auto" w:fill="E1DFDD"/>
    </w:rPr>
  </w:style>
  <w:style w:type="paragraph" w:styleId="FootnoteText">
    <w:name w:val="footnote text"/>
    <w:basedOn w:val="Normal"/>
    <w:link w:val="FootnoteTextChar"/>
    <w:uiPriority w:val="99"/>
    <w:semiHidden/>
    <w:unhideWhenUsed/>
    <w:rsid w:val="001E44B1"/>
    <w:pPr>
      <w:spacing w:after="0" w:line="240" w:lineRule="auto"/>
    </w:pPr>
    <w:rPr>
      <w:rFonts w:ascii="Calibri" w:hAnsi="Calibri" w:eastAsia="SimSun" w:cs="Times New Roman"/>
      <w:kern w:val="0"/>
      <w:sz w:val="20"/>
      <w:szCs w:val="20"/>
      <w:lang w:eastAsia="zh-CN"/>
      <w14:ligatures w14:val="none"/>
    </w:rPr>
  </w:style>
  <w:style w:type="character" w:styleId="FootnoteTextChar" w:customStyle="1">
    <w:name w:val="Footnote Text Char"/>
    <w:basedOn w:val="DefaultParagraphFont"/>
    <w:link w:val="FootnoteText"/>
    <w:uiPriority w:val="99"/>
    <w:semiHidden/>
    <w:rsid w:val="001E44B1"/>
    <w:rPr>
      <w:rFonts w:ascii="Calibri" w:hAnsi="Calibri" w:eastAsia="SimSu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1E44B1"/>
    <w:rPr>
      <w:vertAlign w:val="superscript"/>
    </w:rPr>
  </w:style>
  <w:style w:type="paragraph" w:styleId="TOCHeading">
    <w:name w:val="TOC Heading"/>
    <w:basedOn w:val="Heading1"/>
    <w:next w:val="Normal"/>
    <w:uiPriority w:val="39"/>
    <w:unhideWhenUsed/>
    <w:qFormat/>
    <w:rsid w:val="00EC6E61"/>
    <w:pPr>
      <w:spacing w:before="240" w:after="0" w:line="259" w:lineRule="auto"/>
      <w:outlineLvl w:val="9"/>
    </w:pPr>
    <w:rPr>
      <w:rFonts w:asciiTheme="majorHAnsi" w:hAnsiTheme="majorHAnsi"/>
      <w:b w:val="0"/>
      <w:color w:val="2F5496" w:themeColor="accent1" w:themeShade="BF"/>
      <w:kern w:val="0"/>
      <w:sz w:val="32"/>
      <w:szCs w:val="32"/>
      <w:u w:val="none"/>
      <w14:ligatures w14:val="none"/>
    </w:rPr>
  </w:style>
  <w:style w:type="paragraph" w:styleId="TOC1">
    <w:name w:val="toc 1"/>
    <w:basedOn w:val="Normal"/>
    <w:next w:val="Normal"/>
    <w:autoRedefine/>
    <w:uiPriority w:val="39"/>
    <w:unhideWhenUsed/>
    <w:rsid w:val="00EC6E61"/>
    <w:pPr>
      <w:spacing w:after="100"/>
    </w:pPr>
  </w:style>
  <w:style w:type="paragraph" w:styleId="TOC2">
    <w:name w:val="toc 2"/>
    <w:basedOn w:val="Normal"/>
    <w:next w:val="Normal"/>
    <w:autoRedefine/>
    <w:uiPriority w:val="39"/>
    <w:unhideWhenUsed/>
    <w:rsid w:val="000379DD"/>
    <w:pPr>
      <w:spacing w:after="100"/>
      <w:ind w:left="240"/>
    </w:pPr>
  </w:style>
  <w:style w:type="paragraph" w:styleId="NormalWeb">
    <w:name w:val="Normal (Web)"/>
    <w:basedOn w:val="Normal"/>
    <w:uiPriority w:val="99"/>
    <w:semiHidden/>
    <w:unhideWhenUsed/>
    <w:rsid w:val="007149BC"/>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5867">
      <w:bodyDiv w:val="1"/>
      <w:marLeft w:val="0"/>
      <w:marRight w:val="0"/>
      <w:marTop w:val="0"/>
      <w:marBottom w:val="0"/>
      <w:divBdr>
        <w:top w:val="none" w:sz="0" w:space="0" w:color="auto"/>
        <w:left w:val="none" w:sz="0" w:space="0" w:color="auto"/>
        <w:bottom w:val="none" w:sz="0" w:space="0" w:color="auto"/>
        <w:right w:val="none" w:sz="0" w:space="0" w:color="auto"/>
      </w:divBdr>
    </w:div>
    <w:div w:id="141040592">
      <w:bodyDiv w:val="1"/>
      <w:marLeft w:val="0"/>
      <w:marRight w:val="0"/>
      <w:marTop w:val="0"/>
      <w:marBottom w:val="0"/>
      <w:divBdr>
        <w:top w:val="none" w:sz="0" w:space="0" w:color="auto"/>
        <w:left w:val="none" w:sz="0" w:space="0" w:color="auto"/>
        <w:bottom w:val="none" w:sz="0" w:space="0" w:color="auto"/>
        <w:right w:val="none" w:sz="0" w:space="0" w:color="auto"/>
      </w:divBdr>
    </w:div>
    <w:div w:id="180321988">
      <w:bodyDiv w:val="1"/>
      <w:marLeft w:val="0"/>
      <w:marRight w:val="0"/>
      <w:marTop w:val="0"/>
      <w:marBottom w:val="0"/>
      <w:divBdr>
        <w:top w:val="none" w:sz="0" w:space="0" w:color="auto"/>
        <w:left w:val="none" w:sz="0" w:space="0" w:color="auto"/>
        <w:bottom w:val="none" w:sz="0" w:space="0" w:color="auto"/>
        <w:right w:val="none" w:sz="0" w:space="0" w:color="auto"/>
      </w:divBdr>
    </w:div>
    <w:div w:id="378020422">
      <w:bodyDiv w:val="1"/>
      <w:marLeft w:val="0"/>
      <w:marRight w:val="0"/>
      <w:marTop w:val="0"/>
      <w:marBottom w:val="0"/>
      <w:divBdr>
        <w:top w:val="none" w:sz="0" w:space="0" w:color="auto"/>
        <w:left w:val="none" w:sz="0" w:space="0" w:color="auto"/>
        <w:bottom w:val="none" w:sz="0" w:space="0" w:color="auto"/>
        <w:right w:val="none" w:sz="0" w:space="0" w:color="auto"/>
      </w:divBdr>
    </w:div>
    <w:div w:id="398478643">
      <w:bodyDiv w:val="1"/>
      <w:marLeft w:val="0"/>
      <w:marRight w:val="0"/>
      <w:marTop w:val="0"/>
      <w:marBottom w:val="0"/>
      <w:divBdr>
        <w:top w:val="none" w:sz="0" w:space="0" w:color="auto"/>
        <w:left w:val="none" w:sz="0" w:space="0" w:color="auto"/>
        <w:bottom w:val="none" w:sz="0" w:space="0" w:color="auto"/>
        <w:right w:val="none" w:sz="0" w:space="0" w:color="auto"/>
      </w:divBdr>
    </w:div>
    <w:div w:id="482740767">
      <w:bodyDiv w:val="1"/>
      <w:marLeft w:val="0"/>
      <w:marRight w:val="0"/>
      <w:marTop w:val="0"/>
      <w:marBottom w:val="0"/>
      <w:divBdr>
        <w:top w:val="none" w:sz="0" w:space="0" w:color="auto"/>
        <w:left w:val="none" w:sz="0" w:space="0" w:color="auto"/>
        <w:bottom w:val="none" w:sz="0" w:space="0" w:color="auto"/>
        <w:right w:val="none" w:sz="0" w:space="0" w:color="auto"/>
      </w:divBdr>
    </w:div>
    <w:div w:id="508636608">
      <w:bodyDiv w:val="1"/>
      <w:marLeft w:val="0"/>
      <w:marRight w:val="0"/>
      <w:marTop w:val="0"/>
      <w:marBottom w:val="0"/>
      <w:divBdr>
        <w:top w:val="none" w:sz="0" w:space="0" w:color="auto"/>
        <w:left w:val="none" w:sz="0" w:space="0" w:color="auto"/>
        <w:bottom w:val="none" w:sz="0" w:space="0" w:color="auto"/>
        <w:right w:val="none" w:sz="0" w:space="0" w:color="auto"/>
      </w:divBdr>
    </w:div>
    <w:div w:id="585774483">
      <w:bodyDiv w:val="1"/>
      <w:marLeft w:val="0"/>
      <w:marRight w:val="0"/>
      <w:marTop w:val="0"/>
      <w:marBottom w:val="0"/>
      <w:divBdr>
        <w:top w:val="none" w:sz="0" w:space="0" w:color="auto"/>
        <w:left w:val="none" w:sz="0" w:space="0" w:color="auto"/>
        <w:bottom w:val="none" w:sz="0" w:space="0" w:color="auto"/>
        <w:right w:val="none" w:sz="0" w:space="0" w:color="auto"/>
      </w:divBdr>
    </w:div>
    <w:div w:id="697974724">
      <w:bodyDiv w:val="1"/>
      <w:marLeft w:val="0"/>
      <w:marRight w:val="0"/>
      <w:marTop w:val="0"/>
      <w:marBottom w:val="0"/>
      <w:divBdr>
        <w:top w:val="none" w:sz="0" w:space="0" w:color="auto"/>
        <w:left w:val="none" w:sz="0" w:space="0" w:color="auto"/>
        <w:bottom w:val="none" w:sz="0" w:space="0" w:color="auto"/>
        <w:right w:val="none" w:sz="0" w:space="0" w:color="auto"/>
      </w:divBdr>
      <w:divsChild>
        <w:div w:id="983776526">
          <w:marLeft w:val="0"/>
          <w:marRight w:val="0"/>
          <w:marTop w:val="120"/>
          <w:marBottom w:val="75"/>
          <w:divBdr>
            <w:top w:val="none" w:sz="0" w:space="0" w:color="auto"/>
            <w:left w:val="none" w:sz="0" w:space="0" w:color="auto"/>
            <w:bottom w:val="none" w:sz="0" w:space="0" w:color="auto"/>
            <w:right w:val="none" w:sz="0" w:space="0" w:color="auto"/>
          </w:divBdr>
          <w:divsChild>
            <w:div w:id="515850934">
              <w:marLeft w:val="0"/>
              <w:marRight w:val="0"/>
              <w:marTop w:val="0"/>
              <w:marBottom w:val="0"/>
              <w:divBdr>
                <w:top w:val="none" w:sz="0" w:space="0" w:color="auto"/>
                <w:left w:val="none" w:sz="0" w:space="0" w:color="auto"/>
                <w:bottom w:val="none" w:sz="0" w:space="0" w:color="auto"/>
                <w:right w:val="none" w:sz="0" w:space="0" w:color="auto"/>
              </w:divBdr>
            </w:div>
            <w:div w:id="959384488">
              <w:marLeft w:val="0"/>
              <w:marRight w:val="0"/>
              <w:marTop w:val="0"/>
              <w:marBottom w:val="0"/>
              <w:divBdr>
                <w:top w:val="none" w:sz="0" w:space="0" w:color="auto"/>
                <w:left w:val="none" w:sz="0" w:space="0" w:color="auto"/>
                <w:bottom w:val="none" w:sz="0" w:space="0" w:color="auto"/>
                <w:right w:val="none" w:sz="0" w:space="0" w:color="auto"/>
              </w:divBdr>
              <w:divsChild>
                <w:div w:id="15850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2998">
          <w:marLeft w:val="0"/>
          <w:marRight w:val="0"/>
          <w:marTop w:val="0"/>
          <w:marBottom w:val="0"/>
          <w:divBdr>
            <w:top w:val="none" w:sz="0" w:space="0" w:color="auto"/>
            <w:left w:val="none" w:sz="0" w:space="0" w:color="auto"/>
            <w:bottom w:val="none" w:sz="0" w:space="0" w:color="auto"/>
            <w:right w:val="none" w:sz="0" w:space="0" w:color="auto"/>
          </w:divBdr>
        </w:div>
      </w:divsChild>
    </w:div>
    <w:div w:id="807163292">
      <w:bodyDiv w:val="1"/>
      <w:marLeft w:val="0"/>
      <w:marRight w:val="0"/>
      <w:marTop w:val="0"/>
      <w:marBottom w:val="0"/>
      <w:divBdr>
        <w:top w:val="none" w:sz="0" w:space="0" w:color="auto"/>
        <w:left w:val="none" w:sz="0" w:space="0" w:color="auto"/>
        <w:bottom w:val="none" w:sz="0" w:space="0" w:color="auto"/>
        <w:right w:val="none" w:sz="0" w:space="0" w:color="auto"/>
      </w:divBdr>
    </w:div>
    <w:div w:id="930089939">
      <w:bodyDiv w:val="1"/>
      <w:marLeft w:val="0"/>
      <w:marRight w:val="0"/>
      <w:marTop w:val="0"/>
      <w:marBottom w:val="0"/>
      <w:divBdr>
        <w:top w:val="none" w:sz="0" w:space="0" w:color="auto"/>
        <w:left w:val="none" w:sz="0" w:space="0" w:color="auto"/>
        <w:bottom w:val="none" w:sz="0" w:space="0" w:color="auto"/>
        <w:right w:val="none" w:sz="0" w:space="0" w:color="auto"/>
      </w:divBdr>
    </w:div>
    <w:div w:id="991832478">
      <w:bodyDiv w:val="1"/>
      <w:marLeft w:val="0"/>
      <w:marRight w:val="0"/>
      <w:marTop w:val="0"/>
      <w:marBottom w:val="0"/>
      <w:divBdr>
        <w:top w:val="none" w:sz="0" w:space="0" w:color="auto"/>
        <w:left w:val="none" w:sz="0" w:space="0" w:color="auto"/>
        <w:bottom w:val="none" w:sz="0" w:space="0" w:color="auto"/>
        <w:right w:val="none" w:sz="0" w:space="0" w:color="auto"/>
      </w:divBdr>
    </w:div>
    <w:div w:id="1055663009">
      <w:bodyDiv w:val="1"/>
      <w:marLeft w:val="0"/>
      <w:marRight w:val="0"/>
      <w:marTop w:val="0"/>
      <w:marBottom w:val="0"/>
      <w:divBdr>
        <w:top w:val="none" w:sz="0" w:space="0" w:color="auto"/>
        <w:left w:val="none" w:sz="0" w:space="0" w:color="auto"/>
        <w:bottom w:val="none" w:sz="0" w:space="0" w:color="auto"/>
        <w:right w:val="none" w:sz="0" w:space="0" w:color="auto"/>
      </w:divBdr>
      <w:divsChild>
        <w:div w:id="1651010299">
          <w:marLeft w:val="0"/>
          <w:marRight w:val="0"/>
          <w:marTop w:val="0"/>
          <w:marBottom w:val="0"/>
          <w:divBdr>
            <w:top w:val="none" w:sz="0" w:space="0" w:color="auto"/>
            <w:left w:val="none" w:sz="0" w:space="0" w:color="auto"/>
            <w:bottom w:val="none" w:sz="0" w:space="0" w:color="auto"/>
            <w:right w:val="none" w:sz="0" w:space="0" w:color="auto"/>
          </w:divBdr>
        </w:div>
        <w:div w:id="1658875604">
          <w:marLeft w:val="0"/>
          <w:marRight w:val="0"/>
          <w:marTop w:val="120"/>
          <w:marBottom w:val="75"/>
          <w:divBdr>
            <w:top w:val="none" w:sz="0" w:space="0" w:color="auto"/>
            <w:left w:val="none" w:sz="0" w:space="0" w:color="auto"/>
            <w:bottom w:val="none" w:sz="0" w:space="0" w:color="auto"/>
            <w:right w:val="none" w:sz="0" w:space="0" w:color="auto"/>
          </w:divBdr>
          <w:divsChild>
            <w:div w:id="1146818577">
              <w:marLeft w:val="0"/>
              <w:marRight w:val="0"/>
              <w:marTop w:val="0"/>
              <w:marBottom w:val="0"/>
              <w:divBdr>
                <w:top w:val="none" w:sz="0" w:space="0" w:color="auto"/>
                <w:left w:val="none" w:sz="0" w:space="0" w:color="auto"/>
                <w:bottom w:val="none" w:sz="0" w:space="0" w:color="auto"/>
                <w:right w:val="none" w:sz="0" w:space="0" w:color="auto"/>
              </w:divBdr>
            </w:div>
            <w:div w:id="1229270065">
              <w:marLeft w:val="0"/>
              <w:marRight w:val="0"/>
              <w:marTop w:val="0"/>
              <w:marBottom w:val="0"/>
              <w:divBdr>
                <w:top w:val="none" w:sz="0" w:space="0" w:color="auto"/>
                <w:left w:val="none" w:sz="0" w:space="0" w:color="auto"/>
                <w:bottom w:val="none" w:sz="0" w:space="0" w:color="auto"/>
                <w:right w:val="none" w:sz="0" w:space="0" w:color="auto"/>
              </w:divBdr>
              <w:divsChild>
                <w:div w:id="17354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58675">
      <w:bodyDiv w:val="1"/>
      <w:marLeft w:val="0"/>
      <w:marRight w:val="0"/>
      <w:marTop w:val="0"/>
      <w:marBottom w:val="0"/>
      <w:divBdr>
        <w:top w:val="none" w:sz="0" w:space="0" w:color="auto"/>
        <w:left w:val="none" w:sz="0" w:space="0" w:color="auto"/>
        <w:bottom w:val="none" w:sz="0" w:space="0" w:color="auto"/>
        <w:right w:val="none" w:sz="0" w:space="0" w:color="auto"/>
      </w:divBdr>
    </w:div>
    <w:div w:id="1128745784">
      <w:bodyDiv w:val="1"/>
      <w:marLeft w:val="0"/>
      <w:marRight w:val="0"/>
      <w:marTop w:val="0"/>
      <w:marBottom w:val="0"/>
      <w:divBdr>
        <w:top w:val="none" w:sz="0" w:space="0" w:color="auto"/>
        <w:left w:val="none" w:sz="0" w:space="0" w:color="auto"/>
        <w:bottom w:val="none" w:sz="0" w:space="0" w:color="auto"/>
        <w:right w:val="none" w:sz="0" w:space="0" w:color="auto"/>
      </w:divBdr>
    </w:div>
    <w:div w:id="1151674184">
      <w:bodyDiv w:val="1"/>
      <w:marLeft w:val="0"/>
      <w:marRight w:val="0"/>
      <w:marTop w:val="0"/>
      <w:marBottom w:val="0"/>
      <w:divBdr>
        <w:top w:val="none" w:sz="0" w:space="0" w:color="auto"/>
        <w:left w:val="none" w:sz="0" w:space="0" w:color="auto"/>
        <w:bottom w:val="none" w:sz="0" w:space="0" w:color="auto"/>
        <w:right w:val="none" w:sz="0" w:space="0" w:color="auto"/>
      </w:divBdr>
    </w:div>
    <w:div w:id="1190416036">
      <w:bodyDiv w:val="1"/>
      <w:marLeft w:val="0"/>
      <w:marRight w:val="0"/>
      <w:marTop w:val="0"/>
      <w:marBottom w:val="0"/>
      <w:divBdr>
        <w:top w:val="none" w:sz="0" w:space="0" w:color="auto"/>
        <w:left w:val="none" w:sz="0" w:space="0" w:color="auto"/>
        <w:bottom w:val="none" w:sz="0" w:space="0" w:color="auto"/>
        <w:right w:val="none" w:sz="0" w:space="0" w:color="auto"/>
      </w:divBdr>
    </w:div>
    <w:div w:id="1393625139">
      <w:bodyDiv w:val="1"/>
      <w:marLeft w:val="0"/>
      <w:marRight w:val="0"/>
      <w:marTop w:val="0"/>
      <w:marBottom w:val="0"/>
      <w:divBdr>
        <w:top w:val="none" w:sz="0" w:space="0" w:color="auto"/>
        <w:left w:val="none" w:sz="0" w:space="0" w:color="auto"/>
        <w:bottom w:val="none" w:sz="0" w:space="0" w:color="auto"/>
        <w:right w:val="none" w:sz="0" w:space="0" w:color="auto"/>
      </w:divBdr>
    </w:div>
    <w:div w:id="1435713147">
      <w:bodyDiv w:val="1"/>
      <w:marLeft w:val="0"/>
      <w:marRight w:val="0"/>
      <w:marTop w:val="0"/>
      <w:marBottom w:val="0"/>
      <w:divBdr>
        <w:top w:val="none" w:sz="0" w:space="0" w:color="auto"/>
        <w:left w:val="none" w:sz="0" w:space="0" w:color="auto"/>
        <w:bottom w:val="none" w:sz="0" w:space="0" w:color="auto"/>
        <w:right w:val="none" w:sz="0" w:space="0" w:color="auto"/>
      </w:divBdr>
    </w:div>
    <w:div w:id="1457797504">
      <w:bodyDiv w:val="1"/>
      <w:marLeft w:val="0"/>
      <w:marRight w:val="0"/>
      <w:marTop w:val="0"/>
      <w:marBottom w:val="0"/>
      <w:divBdr>
        <w:top w:val="none" w:sz="0" w:space="0" w:color="auto"/>
        <w:left w:val="none" w:sz="0" w:space="0" w:color="auto"/>
        <w:bottom w:val="none" w:sz="0" w:space="0" w:color="auto"/>
        <w:right w:val="none" w:sz="0" w:space="0" w:color="auto"/>
      </w:divBdr>
    </w:div>
    <w:div w:id="1462074202">
      <w:bodyDiv w:val="1"/>
      <w:marLeft w:val="0"/>
      <w:marRight w:val="0"/>
      <w:marTop w:val="0"/>
      <w:marBottom w:val="0"/>
      <w:divBdr>
        <w:top w:val="none" w:sz="0" w:space="0" w:color="auto"/>
        <w:left w:val="none" w:sz="0" w:space="0" w:color="auto"/>
        <w:bottom w:val="none" w:sz="0" w:space="0" w:color="auto"/>
        <w:right w:val="none" w:sz="0" w:space="0" w:color="auto"/>
      </w:divBdr>
    </w:div>
    <w:div w:id="1545209951">
      <w:bodyDiv w:val="1"/>
      <w:marLeft w:val="0"/>
      <w:marRight w:val="0"/>
      <w:marTop w:val="0"/>
      <w:marBottom w:val="0"/>
      <w:divBdr>
        <w:top w:val="none" w:sz="0" w:space="0" w:color="auto"/>
        <w:left w:val="none" w:sz="0" w:space="0" w:color="auto"/>
        <w:bottom w:val="none" w:sz="0" w:space="0" w:color="auto"/>
        <w:right w:val="none" w:sz="0" w:space="0" w:color="auto"/>
      </w:divBdr>
      <w:divsChild>
        <w:div w:id="1714305498">
          <w:marLeft w:val="0"/>
          <w:marRight w:val="0"/>
          <w:marTop w:val="120"/>
          <w:marBottom w:val="75"/>
          <w:divBdr>
            <w:top w:val="none" w:sz="0" w:space="0" w:color="auto"/>
            <w:left w:val="none" w:sz="0" w:space="0" w:color="auto"/>
            <w:bottom w:val="none" w:sz="0" w:space="0" w:color="auto"/>
            <w:right w:val="none" w:sz="0" w:space="0" w:color="auto"/>
          </w:divBdr>
          <w:divsChild>
            <w:div w:id="174346210">
              <w:marLeft w:val="0"/>
              <w:marRight w:val="0"/>
              <w:marTop w:val="0"/>
              <w:marBottom w:val="0"/>
              <w:divBdr>
                <w:top w:val="none" w:sz="0" w:space="0" w:color="auto"/>
                <w:left w:val="none" w:sz="0" w:space="0" w:color="auto"/>
                <w:bottom w:val="none" w:sz="0" w:space="0" w:color="auto"/>
                <w:right w:val="none" w:sz="0" w:space="0" w:color="auto"/>
              </w:divBdr>
            </w:div>
            <w:div w:id="420763076">
              <w:marLeft w:val="0"/>
              <w:marRight w:val="0"/>
              <w:marTop w:val="0"/>
              <w:marBottom w:val="0"/>
              <w:divBdr>
                <w:top w:val="none" w:sz="0" w:space="0" w:color="auto"/>
                <w:left w:val="none" w:sz="0" w:space="0" w:color="auto"/>
                <w:bottom w:val="none" w:sz="0" w:space="0" w:color="auto"/>
                <w:right w:val="none" w:sz="0" w:space="0" w:color="auto"/>
              </w:divBdr>
              <w:divsChild>
                <w:div w:id="9358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3787">
          <w:marLeft w:val="0"/>
          <w:marRight w:val="0"/>
          <w:marTop w:val="0"/>
          <w:marBottom w:val="0"/>
          <w:divBdr>
            <w:top w:val="none" w:sz="0" w:space="0" w:color="auto"/>
            <w:left w:val="none" w:sz="0" w:space="0" w:color="auto"/>
            <w:bottom w:val="none" w:sz="0" w:space="0" w:color="auto"/>
            <w:right w:val="none" w:sz="0" w:space="0" w:color="auto"/>
          </w:divBdr>
        </w:div>
      </w:divsChild>
    </w:div>
    <w:div w:id="1763261374">
      <w:bodyDiv w:val="1"/>
      <w:marLeft w:val="0"/>
      <w:marRight w:val="0"/>
      <w:marTop w:val="0"/>
      <w:marBottom w:val="0"/>
      <w:divBdr>
        <w:top w:val="none" w:sz="0" w:space="0" w:color="auto"/>
        <w:left w:val="none" w:sz="0" w:space="0" w:color="auto"/>
        <w:bottom w:val="none" w:sz="0" w:space="0" w:color="auto"/>
        <w:right w:val="none" w:sz="0" w:space="0" w:color="auto"/>
      </w:divBdr>
    </w:div>
    <w:div w:id="1897350726">
      <w:bodyDiv w:val="1"/>
      <w:marLeft w:val="0"/>
      <w:marRight w:val="0"/>
      <w:marTop w:val="0"/>
      <w:marBottom w:val="0"/>
      <w:divBdr>
        <w:top w:val="none" w:sz="0" w:space="0" w:color="auto"/>
        <w:left w:val="none" w:sz="0" w:space="0" w:color="auto"/>
        <w:bottom w:val="none" w:sz="0" w:space="0" w:color="auto"/>
        <w:right w:val="none" w:sz="0" w:space="0" w:color="auto"/>
      </w:divBdr>
    </w:div>
    <w:div w:id="2123650066">
      <w:bodyDiv w:val="1"/>
      <w:marLeft w:val="0"/>
      <w:marRight w:val="0"/>
      <w:marTop w:val="0"/>
      <w:marBottom w:val="0"/>
      <w:divBdr>
        <w:top w:val="none" w:sz="0" w:space="0" w:color="auto"/>
        <w:left w:val="none" w:sz="0" w:space="0" w:color="auto"/>
        <w:bottom w:val="none" w:sz="0" w:space="0" w:color="auto"/>
        <w:right w:val="none" w:sz="0" w:space="0" w:color="auto"/>
      </w:divBdr>
      <w:divsChild>
        <w:div w:id="302734073">
          <w:marLeft w:val="0"/>
          <w:marRight w:val="0"/>
          <w:marTop w:val="120"/>
          <w:marBottom w:val="75"/>
          <w:divBdr>
            <w:top w:val="none" w:sz="0" w:space="0" w:color="auto"/>
            <w:left w:val="none" w:sz="0" w:space="0" w:color="auto"/>
            <w:bottom w:val="none" w:sz="0" w:space="0" w:color="auto"/>
            <w:right w:val="none" w:sz="0" w:space="0" w:color="auto"/>
          </w:divBdr>
          <w:divsChild>
            <w:div w:id="1132405839">
              <w:marLeft w:val="0"/>
              <w:marRight w:val="0"/>
              <w:marTop w:val="0"/>
              <w:marBottom w:val="0"/>
              <w:divBdr>
                <w:top w:val="none" w:sz="0" w:space="0" w:color="auto"/>
                <w:left w:val="none" w:sz="0" w:space="0" w:color="auto"/>
                <w:bottom w:val="none" w:sz="0" w:space="0" w:color="auto"/>
                <w:right w:val="none" w:sz="0" w:space="0" w:color="auto"/>
              </w:divBdr>
            </w:div>
            <w:div w:id="1870338027">
              <w:marLeft w:val="0"/>
              <w:marRight w:val="0"/>
              <w:marTop w:val="0"/>
              <w:marBottom w:val="0"/>
              <w:divBdr>
                <w:top w:val="none" w:sz="0" w:space="0" w:color="auto"/>
                <w:left w:val="none" w:sz="0" w:space="0" w:color="auto"/>
                <w:bottom w:val="none" w:sz="0" w:space="0" w:color="auto"/>
                <w:right w:val="none" w:sz="0" w:space="0" w:color="auto"/>
              </w:divBdr>
              <w:divsChild>
                <w:div w:id="19022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3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yperlink" Target="mailto:clerkofcouncil@nola.gov"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ap:Template>
  <ap:Pages>22</ap:Pages>
  <ap:Words>6241</ap:Words>
  <ap:Characters>33517</ap:Characters>
  <ap:Application>Microsoft Office Word</ap:Application>
  <ap:Lines>698</ap:Lines>
  <ap:Paragraphs>222</ap:Paragraphs>
  <ap:CharactersWithSpaces>39536</ap:CharactersWithSpaces>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creator>Tyrianne V Varnado</dc:creator>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US_DocIDDisableNotifications">
    <vt:lpwstr/>
  </op:property>
</op:Properties>
</file>