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F3DD" w14:textId="77777777" w:rsidR="00414B31" w:rsidRDefault="00414B31"/>
    <w:tbl>
      <w:tblPr>
        <w:tblStyle w:val="TableGrid"/>
        <w:tblW w:w="5071" w:type="pct"/>
        <w:tblLayout w:type="fixed"/>
        <w:tblLook w:val="04A0" w:firstRow="1" w:lastRow="0" w:firstColumn="1" w:lastColumn="0" w:noHBand="0" w:noVBand="1"/>
      </w:tblPr>
      <w:tblGrid>
        <w:gridCol w:w="1166"/>
        <w:gridCol w:w="2120"/>
        <w:gridCol w:w="1300"/>
        <w:gridCol w:w="271"/>
        <w:gridCol w:w="1621"/>
        <w:gridCol w:w="3819"/>
        <w:gridCol w:w="2837"/>
      </w:tblGrid>
      <w:tr w:rsidR="00414B31" w14:paraId="341369A1" w14:textId="77777777">
        <w:tc>
          <w:tcPr>
            <w:tcW w:w="444" w:type="pct"/>
          </w:tcPr>
          <w:p w14:paraId="6D223E73" w14:textId="77777777" w:rsidR="00414B31" w:rsidRDefault="00414B31">
            <w:pPr>
              <w:jc w:val="center"/>
              <w:rPr>
                <w:rFonts w:ascii="Times New Roman" w:hAnsi="Times New Roman" w:cs="Times New Roman"/>
                <w:b/>
                <w:sz w:val="24"/>
                <w:szCs w:val="24"/>
              </w:rPr>
            </w:pPr>
          </w:p>
        </w:tc>
        <w:tc>
          <w:tcPr>
            <w:tcW w:w="3476" w:type="pct"/>
            <w:gridSpan w:val="5"/>
          </w:tcPr>
          <w:p w14:paraId="55C2A176" w14:textId="77777777" w:rsidR="00414B31" w:rsidRDefault="00CD56D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UD-20-01</w:t>
            </w:r>
          </w:p>
          <w:p w14:paraId="26B9040F" w14:textId="77777777" w:rsidR="00414B31" w:rsidRDefault="00CD56D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Biennial Report 2023</w:t>
            </w:r>
          </w:p>
          <w:p w14:paraId="22DD8546" w14:textId="77777777" w:rsidR="00414B31" w:rsidRDefault="00CD56D1">
            <w:pPr>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EXHIBIT A / Reporting Requirement Reference Matrix</w:t>
            </w:r>
          </w:p>
          <w:p w14:paraId="274E8F65" w14:textId="77777777" w:rsidR="00414B31" w:rsidRDefault="00414B31">
            <w:pPr>
              <w:jc w:val="center"/>
              <w:rPr>
                <w:rFonts w:ascii="Times New Roman" w:hAnsi="Times New Roman" w:cs="Times New Roman"/>
                <w:b/>
                <w:color w:val="000000" w:themeColor="text1"/>
                <w:sz w:val="24"/>
                <w:szCs w:val="24"/>
              </w:rPr>
            </w:pPr>
          </w:p>
        </w:tc>
        <w:tc>
          <w:tcPr>
            <w:tcW w:w="1080" w:type="pct"/>
          </w:tcPr>
          <w:p w14:paraId="0BDFDBAE" w14:textId="77777777" w:rsidR="00414B31" w:rsidRDefault="00414B31">
            <w:pPr>
              <w:jc w:val="center"/>
              <w:rPr>
                <w:rFonts w:ascii="Times New Roman" w:hAnsi="Times New Roman" w:cs="Times New Roman"/>
                <w:b/>
                <w:sz w:val="24"/>
                <w:szCs w:val="24"/>
              </w:rPr>
            </w:pPr>
          </w:p>
          <w:p w14:paraId="25FB485A" w14:textId="77777777" w:rsidR="00414B31" w:rsidRDefault="00414B31">
            <w:pPr>
              <w:jc w:val="center"/>
              <w:rPr>
                <w:rFonts w:ascii="Times New Roman" w:hAnsi="Times New Roman" w:cs="Times New Roman"/>
                <w:b/>
                <w:sz w:val="24"/>
                <w:szCs w:val="24"/>
              </w:rPr>
            </w:pPr>
          </w:p>
        </w:tc>
      </w:tr>
      <w:tr w:rsidR="00414B31" w14:paraId="46FFCAF1" w14:textId="77777777">
        <w:tc>
          <w:tcPr>
            <w:tcW w:w="3920" w:type="pct"/>
            <w:gridSpan w:val="6"/>
          </w:tcPr>
          <w:p w14:paraId="67C82385" w14:textId="77777777" w:rsidR="00414B31" w:rsidRDefault="00414B31">
            <w:pPr>
              <w:jc w:val="center"/>
              <w:rPr>
                <w:rFonts w:ascii="Times New Roman" w:hAnsi="Times New Roman" w:cs="Times New Roman"/>
                <w:b/>
                <w:sz w:val="24"/>
                <w:szCs w:val="24"/>
              </w:rPr>
            </w:pPr>
          </w:p>
          <w:p w14:paraId="0407A3F3" w14:textId="77777777" w:rsidR="00414B31" w:rsidRDefault="00CD56D1">
            <w:pPr>
              <w:jc w:val="center"/>
              <w:rPr>
                <w:rFonts w:ascii="Times New Roman" w:hAnsi="Times New Roman" w:cs="Times New Roman"/>
                <w:b/>
                <w:sz w:val="24"/>
                <w:szCs w:val="24"/>
                <w:u w:val="single"/>
              </w:rPr>
            </w:pPr>
            <w:r>
              <w:rPr>
                <w:rFonts w:ascii="Times New Roman" w:hAnsi="Times New Roman" w:cs="Times New Roman"/>
                <w:b/>
                <w:sz w:val="24"/>
                <w:szCs w:val="24"/>
                <w:u w:val="single"/>
              </w:rPr>
              <w:t>SECTION A: MAINTAINED REPORTING REQUIREMENTS</w:t>
            </w:r>
          </w:p>
          <w:p w14:paraId="342953B5" w14:textId="77777777" w:rsidR="00414B31" w:rsidRDefault="00414B31">
            <w:pPr>
              <w:jc w:val="center"/>
              <w:rPr>
                <w:rFonts w:ascii="Times New Roman" w:hAnsi="Times New Roman" w:cs="Times New Roman"/>
                <w:b/>
                <w:sz w:val="24"/>
                <w:szCs w:val="24"/>
              </w:rPr>
            </w:pPr>
          </w:p>
        </w:tc>
        <w:tc>
          <w:tcPr>
            <w:tcW w:w="1080" w:type="pct"/>
          </w:tcPr>
          <w:p w14:paraId="307D0399" w14:textId="77777777" w:rsidR="00414B31" w:rsidRDefault="00414B31">
            <w:pPr>
              <w:jc w:val="center"/>
              <w:rPr>
                <w:rFonts w:ascii="Times New Roman" w:hAnsi="Times New Roman" w:cs="Times New Roman"/>
                <w:b/>
                <w:sz w:val="24"/>
                <w:szCs w:val="24"/>
              </w:rPr>
            </w:pPr>
          </w:p>
        </w:tc>
      </w:tr>
      <w:tr w:rsidR="00414B31" w14:paraId="68AADFFF" w14:textId="77777777">
        <w:tc>
          <w:tcPr>
            <w:tcW w:w="444" w:type="pct"/>
          </w:tcPr>
          <w:p w14:paraId="5E194888"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Item Number</w:t>
            </w:r>
          </w:p>
        </w:tc>
        <w:tc>
          <w:tcPr>
            <w:tcW w:w="807" w:type="pct"/>
          </w:tcPr>
          <w:p w14:paraId="0B00601A"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NAME OF REPORT INITIATED</w:t>
            </w:r>
          </w:p>
        </w:tc>
        <w:tc>
          <w:tcPr>
            <w:tcW w:w="495" w:type="pct"/>
          </w:tcPr>
          <w:p w14:paraId="28737EFE"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 xml:space="preserve">Docket </w:t>
            </w:r>
          </w:p>
        </w:tc>
        <w:tc>
          <w:tcPr>
            <w:tcW w:w="720" w:type="pct"/>
            <w:gridSpan w:val="2"/>
          </w:tcPr>
          <w:p w14:paraId="71DB9CEE"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Per Council Resolution</w:t>
            </w:r>
          </w:p>
        </w:tc>
        <w:tc>
          <w:tcPr>
            <w:tcW w:w="1454" w:type="pct"/>
          </w:tcPr>
          <w:p w14:paraId="11203B51"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PURPOSE OF REPORT</w:t>
            </w:r>
          </w:p>
        </w:tc>
        <w:tc>
          <w:tcPr>
            <w:tcW w:w="1080" w:type="pct"/>
          </w:tcPr>
          <w:p w14:paraId="1C9058C9"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CURO RECOMMENDATION</w:t>
            </w:r>
          </w:p>
        </w:tc>
      </w:tr>
      <w:tr w:rsidR="00414B31" w14:paraId="739BE645" w14:textId="77777777">
        <w:tc>
          <w:tcPr>
            <w:tcW w:w="444" w:type="pct"/>
          </w:tcPr>
          <w:p w14:paraId="7E6036B0"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w:t>
            </w:r>
          </w:p>
        </w:tc>
        <w:tc>
          <w:tcPr>
            <w:tcW w:w="807" w:type="pct"/>
          </w:tcPr>
          <w:p w14:paraId="4C1F0435"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ENO’s Bi-annual filing of Gas Design peak demand.</w:t>
            </w:r>
          </w:p>
        </w:tc>
        <w:tc>
          <w:tcPr>
            <w:tcW w:w="495" w:type="pct"/>
          </w:tcPr>
          <w:p w14:paraId="5CF15246"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UD-97-2B</w:t>
            </w:r>
          </w:p>
        </w:tc>
        <w:tc>
          <w:tcPr>
            <w:tcW w:w="720" w:type="pct"/>
            <w:gridSpan w:val="2"/>
          </w:tcPr>
          <w:p w14:paraId="30EE2C49"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R-00-650 accepting settlement offers of ENO &amp; S&amp;WB in Dockets UD-97-2B and UD-98-2</w:t>
            </w:r>
          </w:p>
        </w:tc>
        <w:tc>
          <w:tcPr>
            <w:tcW w:w="1454" w:type="pct"/>
          </w:tcPr>
          <w:p w14:paraId="3C25B2BA"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 xml:space="preserve">ENO (“Company”) required to submit to the Council for review, not later than March l, 2002, based upon then currently available data and every twenty-four (24) months thereafter, the Company's model(s) and the output of all model(s) used for this purpose, as well as all work-papers used in the determination of the design-day peak demand. The Council will, based upon the practices, then review the Company's forecast and thereafter will notify the Company as to whether the Company's forecast is consistent with the practices and therefore acceptable. If the Council does not issue such a notification within one-hundred eighty (180) days of the Company's submission of the model, output, and work-papers, then the </w:t>
            </w:r>
            <w:r>
              <w:rPr>
                <w:rFonts w:ascii="Times New Roman" w:hAnsi="Times New Roman" w:cs="Times New Roman"/>
                <w:sz w:val="24"/>
                <w:szCs w:val="24"/>
              </w:rPr>
              <w:lastRenderedPageBreak/>
              <w:t>Company's determination of the design-day peak demand shall be deemed appropriate.</w:t>
            </w:r>
          </w:p>
          <w:p w14:paraId="0D466AFB" w14:textId="77777777" w:rsidR="00414B31" w:rsidRDefault="00CD56D1">
            <w:pPr>
              <w:tabs>
                <w:tab w:val="left" w:pos="1695"/>
              </w:tabs>
              <w:jc w:val="both"/>
              <w:rPr>
                <w:rFonts w:ascii="Times New Roman" w:hAnsi="Times New Roman" w:cs="Times New Roman"/>
                <w:b/>
                <w:sz w:val="24"/>
                <w:szCs w:val="24"/>
              </w:rPr>
            </w:pPr>
            <w:r>
              <w:rPr>
                <w:rFonts w:ascii="Times New Roman" w:hAnsi="Times New Roman" w:cs="Times New Roman"/>
                <w:b/>
                <w:sz w:val="24"/>
                <w:szCs w:val="24"/>
              </w:rPr>
              <w:tab/>
            </w:r>
          </w:p>
        </w:tc>
        <w:tc>
          <w:tcPr>
            <w:tcW w:w="1080" w:type="pct"/>
          </w:tcPr>
          <w:p w14:paraId="6182D7C1" w14:textId="77777777" w:rsidR="00414B31" w:rsidRDefault="00CD56D1">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lastRenderedPageBreak/>
              <w:t>Maintain Reporting Requirement</w:t>
            </w:r>
          </w:p>
        </w:tc>
      </w:tr>
      <w:tr w:rsidR="00414B31" w14:paraId="031A6D77" w14:textId="77777777">
        <w:tc>
          <w:tcPr>
            <w:tcW w:w="444" w:type="pct"/>
          </w:tcPr>
          <w:p w14:paraId="3EDDD921"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A2</w:t>
            </w:r>
          </w:p>
        </w:tc>
        <w:tc>
          <w:tcPr>
            <w:tcW w:w="807" w:type="pct"/>
          </w:tcPr>
          <w:p w14:paraId="5FDFAEC3"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Post-MISO Integration Report</w:t>
            </w:r>
          </w:p>
        </w:tc>
        <w:tc>
          <w:tcPr>
            <w:tcW w:w="495" w:type="pct"/>
          </w:tcPr>
          <w:p w14:paraId="23405EA3"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UD-11-01</w:t>
            </w:r>
          </w:p>
        </w:tc>
        <w:tc>
          <w:tcPr>
            <w:tcW w:w="720" w:type="pct"/>
            <w:gridSpan w:val="2"/>
          </w:tcPr>
          <w:p w14:paraId="777B46FD"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R-15-139</w:t>
            </w:r>
          </w:p>
        </w:tc>
        <w:tc>
          <w:tcPr>
            <w:tcW w:w="1454" w:type="pct"/>
          </w:tcPr>
          <w:p w14:paraId="4F5F4574"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Annual filing per the Summary of Proposed Post-MISO-Integration Reporting Guidelines, in Exhibit 4 to the Agreement in Principle attached to Council Resolution R-15-139.</w:t>
            </w:r>
          </w:p>
          <w:p w14:paraId="14F86290" w14:textId="77777777" w:rsidR="00414B31" w:rsidRDefault="00414B31">
            <w:pPr>
              <w:jc w:val="both"/>
              <w:rPr>
                <w:rFonts w:ascii="Times New Roman" w:hAnsi="Times New Roman" w:cs="Times New Roman"/>
                <w:b/>
                <w:sz w:val="24"/>
                <w:szCs w:val="24"/>
              </w:rPr>
            </w:pPr>
          </w:p>
        </w:tc>
        <w:tc>
          <w:tcPr>
            <w:tcW w:w="1080" w:type="pct"/>
          </w:tcPr>
          <w:p w14:paraId="17E9E59D"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414B31" w14:paraId="0F3D1FA0" w14:textId="77777777">
        <w:tc>
          <w:tcPr>
            <w:tcW w:w="444" w:type="pct"/>
          </w:tcPr>
          <w:p w14:paraId="27E60EE7"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A3</w:t>
            </w:r>
          </w:p>
        </w:tc>
        <w:tc>
          <w:tcPr>
            <w:tcW w:w="807" w:type="pct"/>
          </w:tcPr>
          <w:p w14:paraId="3FD66EE4"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Semi-Annual SSCR Rider Filing</w:t>
            </w:r>
          </w:p>
        </w:tc>
        <w:tc>
          <w:tcPr>
            <w:tcW w:w="495" w:type="pct"/>
          </w:tcPr>
          <w:p w14:paraId="2068E970"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UD-14-01</w:t>
            </w:r>
          </w:p>
        </w:tc>
        <w:tc>
          <w:tcPr>
            <w:tcW w:w="720" w:type="pct"/>
            <w:gridSpan w:val="2"/>
          </w:tcPr>
          <w:p w14:paraId="73D02189"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R-15-193</w:t>
            </w:r>
          </w:p>
          <w:p w14:paraId="12A37949"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(Financing Order)</w:t>
            </w:r>
          </w:p>
        </w:tc>
        <w:tc>
          <w:tcPr>
            <w:tcW w:w="1454" w:type="pct"/>
          </w:tcPr>
          <w:p w14:paraId="2470AA61"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Per the Financing Order adopted in Resolution R-15-193 on May 14, 2015 in regard to the Application of ENO for Certification of Costs Related to Hurricane Isaac and Related Relief and Application of ELL for Recovery in Rates of Costs Related to Hurricane Isaac and Related Relief in Algiers, ENO as the Servicer of the Storm Recovery Bonds is to apply for a mandatory periodic true-up of the Rate Adjustment to the Securitized Storm Cost Recovery Rider SSCR (“Rider SSCR”). Each semi-annual true-up shall be filed with the Council at least 15 days prior to the first billing cycle of the month in which the proposed Rate Adjustment will be in effect.</w:t>
            </w:r>
          </w:p>
          <w:p w14:paraId="1145224F" w14:textId="77777777" w:rsidR="00414B31" w:rsidRDefault="00414B31">
            <w:pPr>
              <w:jc w:val="both"/>
              <w:rPr>
                <w:rFonts w:ascii="Times New Roman" w:hAnsi="Times New Roman" w:cs="Times New Roman"/>
                <w:b/>
                <w:sz w:val="24"/>
                <w:szCs w:val="24"/>
              </w:rPr>
            </w:pPr>
          </w:p>
        </w:tc>
        <w:tc>
          <w:tcPr>
            <w:tcW w:w="1080" w:type="pct"/>
          </w:tcPr>
          <w:p w14:paraId="2441E6B9"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414B31" w14:paraId="13600478" w14:textId="77777777">
        <w:tc>
          <w:tcPr>
            <w:tcW w:w="444" w:type="pct"/>
          </w:tcPr>
          <w:p w14:paraId="36F2FD7D"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A4</w:t>
            </w:r>
          </w:p>
        </w:tc>
        <w:tc>
          <w:tcPr>
            <w:tcW w:w="807" w:type="pct"/>
          </w:tcPr>
          <w:p w14:paraId="22F37F60"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Annual SSCO Rider Filing</w:t>
            </w:r>
          </w:p>
        </w:tc>
        <w:tc>
          <w:tcPr>
            <w:tcW w:w="495" w:type="pct"/>
          </w:tcPr>
          <w:p w14:paraId="726A4CFB"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UD-14-01</w:t>
            </w:r>
          </w:p>
        </w:tc>
        <w:tc>
          <w:tcPr>
            <w:tcW w:w="720" w:type="pct"/>
            <w:gridSpan w:val="2"/>
          </w:tcPr>
          <w:p w14:paraId="7318217B"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R-15-193</w:t>
            </w:r>
          </w:p>
          <w:p w14:paraId="7FC965E3" w14:textId="77777777" w:rsidR="00414B31" w:rsidRDefault="00CD56D1">
            <w:pPr>
              <w:jc w:val="center"/>
              <w:rPr>
                <w:rFonts w:ascii="Times New Roman" w:hAnsi="Times New Roman" w:cs="Times New Roman"/>
                <w:b/>
                <w:sz w:val="24"/>
                <w:szCs w:val="24"/>
              </w:rPr>
            </w:pPr>
            <w:r>
              <w:rPr>
                <w:rFonts w:ascii="Times New Roman" w:hAnsi="Times New Roman" w:cs="Times New Roman"/>
                <w:sz w:val="24"/>
                <w:szCs w:val="24"/>
              </w:rPr>
              <w:t>(Financing Order)</w:t>
            </w:r>
          </w:p>
        </w:tc>
        <w:tc>
          <w:tcPr>
            <w:tcW w:w="1454" w:type="pct"/>
          </w:tcPr>
          <w:p w14:paraId="6C56BF8E"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 xml:space="preserve">Per the Financing Order adopted in Resolution R-15-193 on May 14, 2015 in regard to the Application of </w:t>
            </w:r>
            <w:r>
              <w:rPr>
                <w:rFonts w:ascii="Times New Roman" w:hAnsi="Times New Roman" w:cs="Times New Roman"/>
                <w:sz w:val="24"/>
                <w:szCs w:val="24"/>
              </w:rPr>
              <w:lastRenderedPageBreak/>
              <w:t xml:space="preserve">ENO for Certification of Costs Related to Hurricane Isaac and Related Relief and Application of ELL for Recovery in Rates of Costs Related to Hurricane Isaac and Related Relief in Algiers, and concurrent with the filing for the first adjustment to Rider SSCR, ENO shall file a revised Attachment A containing a revised Rate Adjustment. The revised Rate Adjustment shall become effective for bills rendered on and after the first billing cycle for the month of May of the filing year and shall then remain in effect until changed pursuant to the provisions of this Rider. </w:t>
            </w:r>
          </w:p>
          <w:p w14:paraId="56FFA1CC" w14:textId="77777777" w:rsidR="00414B31" w:rsidRDefault="00414B31">
            <w:pPr>
              <w:jc w:val="both"/>
              <w:rPr>
                <w:rFonts w:ascii="Times New Roman" w:hAnsi="Times New Roman" w:cs="Times New Roman"/>
                <w:b/>
                <w:sz w:val="24"/>
                <w:szCs w:val="24"/>
              </w:rPr>
            </w:pPr>
          </w:p>
        </w:tc>
        <w:tc>
          <w:tcPr>
            <w:tcW w:w="1080" w:type="pct"/>
          </w:tcPr>
          <w:p w14:paraId="27EEE8A7"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lastRenderedPageBreak/>
              <w:t>Maintain Reporting Requirement</w:t>
            </w:r>
          </w:p>
        </w:tc>
      </w:tr>
      <w:tr w:rsidR="00414B31" w14:paraId="4C58296D" w14:textId="77777777">
        <w:tc>
          <w:tcPr>
            <w:tcW w:w="444" w:type="pct"/>
          </w:tcPr>
          <w:p w14:paraId="6598331A"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A5</w:t>
            </w:r>
          </w:p>
        </w:tc>
        <w:tc>
          <w:tcPr>
            <w:tcW w:w="807" w:type="pct"/>
          </w:tcPr>
          <w:p w14:paraId="1AED5F8A"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NOPS Post-Implementation Report on Internal Controls and Cyber Security</w:t>
            </w:r>
          </w:p>
        </w:tc>
        <w:tc>
          <w:tcPr>
            <w:tcW w:w="495" w:type="pct"/>
          </w:tcPr>
          <w:p w14:paraId="1F76E49C"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2F2D0658"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R-19-78</w:t>
            </w:r>
          </w:p>
        </w:tc>
        <w:tc>
          <w:tcPr>
            <w:tcW w:w="1454" w:type="pct"/>
          </w:tcPr>
          <w:p w14:paraId="6D59375B"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 xml:space="preserve"> ENO shall provide the Council Advisors with a copy of ENO-related post-implementation audit reports on the internal controls in these areas, with the exception of Cyber Security, which is to be handled separately in order to protect sensitive information</w:t>
            </w:r>
          </w:p>
          <w:p w14:paraId="12AD92A6" w14:textId="77777777" w:rsidR="00414B31" w:rsidRDefault="00414B31">
            <w:pPr>
              <w:jc w:val="both"/>
              <w:rPr>
                <w:rFonts w:ascii="Times New Roman" w:hAnsi="Times New Roman" w:cs="Times New Roman"/>
                <w:sz w:val="24"/>
                <w:szCs w:val="24"/>
              </w:rPr>
            </w:pPr>
          </w:p>
        </w:tc>
        <w:tc>
          <w:tcPr>
            <w:tcW w:w="1080" w:type="pct"/>
          </w:tcPr>
          <w:p w14:paraId="27DFB60F"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414B31" w14:paraId="73C3E95D" w14:textId="77777777">
        <w:tc>
          <w:tcPr>
            <w:tcW w:w="444" w:type="pct"/>
          </w:tcPr>
          <w:p w14:paraId="6D3A1B7A"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A6</w:t>
            </w:r>
          </w:p>
        </w:tc>
        <w:tc>
          <w:tcPr>
            <w:tcW w:w="807" w:type="pct"/>
          </w:tcPr>
          <w:p w14:paraId="693D1233"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Estimated O&amp;M Expenditures for NOPS</w:t>
            </w:r>
          </w:p>
        </w:tc>
        <w:tc>
          <w:tcPr>
            <w:tcW w:w="495" w:type="pct"/>
          </w:tcPr>
          <w:p w14:paraId="66F02A88"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269C94D9"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R-19-78</w:t>
            </w:r>
          </w:p>
        </w:tc>
        <w:tc>
          <w:tcPr>
            <w:tcW w:w="1454" w:type="pct"/>
          </w:tcPr>
          <w:p w14:paraId="600722D2" w14:textId="77777777" w:rsidR="00414B31" w:rsidRDefault="00CD56D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ENO shall file such report(s) regarding the anticipated NOPS O&amp;M expenditures for the next 12-month period for the Council’s review and approval. </w:t>
            </w:r>
          </w:p>
          <w:p w14:paraId="0CCFB1E7" w14:textId="77777777" w:rsidR="00414B31" w:rsidRDefault="00414B31">
            <w:pPr>
              <w:jc w:val="both"/>
              <w:rPr>
                <w:rFonts w:ascii="Times New Roman" w:hAnsi="Times New Roman" w:cs="Times New Roman"/>
                <w:sz w:val="24"/>
                <w:szCs w:val="24"/>
              </w:rPr>
            </w:pPr>
          </w:p>
        </w:tc>
        <w:tc>
          <w:tcPr>
            <w:tcW w:w="1080" w:type="pct"/>
          </w:tcPr>
          <w:p w14:paraId="16E895B4" w14:textId="77777777" w:rsidR="00414B31" w:rsidRDefault="00CD56D1">
            <w:pPr>
              <w:jc w:val="center"/>
              <w:rPr>
                <w:rFonts w:ascii="Times New Roman" w:hAnsi="Times New Roman" w:cs="Times New Roman"/>
                <w:color w:val="000000"/>
                <w:sz w:val="24"/>
                <w:szCs w:val="24"/>
              </w:rPr>
            </w:pPr>
            <w:r>
              <w:rPr>
                <w:rFonts w:ascii="Times New Roman" w:hAnsi="Times New Roman" w:cs="Times New Roman"/>
                <w:color w:val="C0504D" w:themeColor="accent2"/>
                <w:sz w:val="24"/>
                <w:szCs w:val="24"/>
              </w:rPr>
              <w:t>Maintain Reporting Requirement</w:t>
            </w:r>
          </w:p>
        </w:tc>
      </w:tr>
      <w:tr w:rsidR="00414B31" w14:paraId="29CB1821" w14:textId="77777777">
        <w:tc>
          <w:tcPr>
            <w:tcW w:w="444" w:type="pct"/>
          </w:tcPr>
          <w:p w14:paraId="3DDC7FDC"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lastRenderedPageBreak/>
              <w:t>A7</w:t>
            </w:r>
          </w:p>
        </w:tc>
        <w:tc>
          <w:tcPr>
            <w:tcW w:w="807" w:type="pct"/>
          </w:tcPr>
          <w:p w14:paraId="4F21E420"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ENO’s Lost Contribution to Fixed Costs (LCFC) and Utility Performance Incentive to Program Year of Energy Smart</w:t>
            </w:r>
          </w:p>
        </w:tc>
        <w:tc>
          <w:tcPr>
            <w:tcW w:w="495" w:type="pct"/>
          </w:tcPr>
          <w:p w14:paraId="62398B38"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UD-17-03</w:t>
            </w:r>
          </w:p>
          <w:p w14:paraId="549EDD40"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UD-08-02</w:t>
            </w:r>
          </w:p>
          <w:p w14:paraId="6D9ACE64" w14:textId="77777777" w:rsidR="00414B31" w:rsidRDefault="00414B31">
            <w:pPr>
              <w:jc w:val="center"/>
              <w:rPr>
                <w:rFonts w:ascii="Times New Roman" w:hAnsi="Times New Roman" w:cs="Times New Roman"/>
                <w:sz w:val="24"/>
                <w:szCs w:val="24"/>
              </w:rPr>
            </w:pPr>
          </w:p>
        </w:tc>
        <w:tc>
          <w:tcPr>
            <w:tcW w:w="720" w:type="pct"/>
            <w:gridSpan w:val="2"/>
          </w:tcPr>
          <w:p w14:paraId="66ECD2FA"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R-15-140;</w:t>
            </w:r>
          </w:p>
          <w:p w14:paraId="2666BC61"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R-15-599</w:t>
            </w:r>
          </w:p>
          <w:p w14:paraId="4E559CDF" w14:textId="77777777" w:rsidR="00414B31" w:rsidRDefault="00414B31">
            <w:pPr>
              <w:jc w:val="center"/>
              <w:rPr>
                <w:rFonts w:ascii="Times New Roman" w:hAnsi="Times New Roman" w:cs="Times New Roman"/>
                <w:sz w:val="24"/>
                <w:szCs w:val="24"/>
              </w:rPr>
            </w:pPr>
          </w:p>
        </w:tc>
        <w:tc>
          <w:tcPr>
            <w:tcW w:w="1454" w:type="pct"/>
          </w:tcPr>
          <w:p w14:paraId="456FE35D"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 xml:space="preserve">ENO to make a filing with the Council for the calculation and recovery of LCFC and any utility performance incentive related to the previous Energy Smart program year. If ENO or ELL-Algiers failed to achieve 60% of the kWh goal, ENO had to appear before the UCTTC and show cause why it should not be assessed a penalty. </w:t>
            </w:r>
          </w:p>
          <w:p w14:paraId="70724425"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Subsequent annual filings for LCFC and incentives pursuant to Resolution R-15-140 will be made on or before June 30 following each program year.</w:t>
            </w:r>
          </w:p>
          <w:p w14:paraId="6AAD25B7" w14:textId="77777777" w:rsidR="00414B31" w:rsidRDefault="00414B31">
            <w:pPr>
              <w:jc w:val="both"/>
              <w:rPr>
                <w:rFonts w:ascii="Times New Roman" w:hAnsi="Times New Roman" w:cs="Times New Roman"/>
                <w:sz w:val="24"/>
                <w:szCs w:val="24"/>
              </w:rPr>
            </w:pPr>
          </w:p>
        </w:tc>
        <w:tc>
          <w:tcPr>
            <w:tcW w:w="1080" w:type="pct"/>
          </w:tcPr>
          <w:p w14:paraId="0F8CDB70"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414B31" w14:paraId="0AE466BE" w14:textId="77777777">
        <w:tc>
          <w:tcPr>
            <w:tcW w:w="444" w:type="pct"/>
          </w:tcPr>
          <w:p w14:paraId="6F69658E"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A8</w:t>
            </w:r>
          </w:p>
        </w:tc>
        <w:tc>
          <w:tcPr>
            <w:tcW w:w="807" w:type="pct"/>
          </w:tcPr>
          <w:p w14:paraId="3969E1F0"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 xml:space="preserve">Fuel Adjustment Clause </w:t>
            </w:r>
          </w:p>
          <w:p w14:paraId="2E0D76A6"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(Paragraph B)</w:t>
            </w:r>
          </w:p>
          <w:p w14:paraId="558D9C90" w14:textId="77777777" w:rsidR="00414B31" w:rsidRDefault="00414B31">
            <w:pPr>
              <w:rPr>
                <w:rFonts w:ascii="Times New Roman" w:hAnsi="Times New Roman" w:cs="Times New Roman"/>
                <w:strike/>
                <w:sz w:val="24"/>
                <w:szCs w:val="24"/>
              </w:rPr>
            </w:pPr>
          </w:p>
        </w:tc>
        <w:tc>
          <w:tcPr>
            <w:tcW w:w="495" w:type="pct"/>
          </w:tcPr>
          <w:p w14:paraId="34BC2D7C" w14:textId="77777777" w:rsidR="00414B31" w:rsidRDefault="00414B31">
            <w:pPr>
              <w:jc w:val="center"/>
              <w:rPr>
                <w:rFonts w:ascii="Times New Roman" w:hAnsi="Times New Roman" w:cs="Times New Roman"/>
                <w:strike/>
                <w:sz w:val="24"/>
                <w:szCs w:val="24"/>
              </w:rPr>
            </w:pPr>
          </w:p>
        </w:tc>
        <w:tc>
          <w:tcPr>
            <w:tcW w:w="720" w:type="pct"/>
            <w:gridSpan w:val="2"/>
          </w:tcPr>
          <w:p w14:paraId="3229BA7A" w14:textId="77777777" w:rsidR="00414B31" w:rsidRDefault="00CD56D1">
            <w:pPr>
              <w:jc w:val="center"/>
              <w:rPr>
                <w:rFonts w:ascii="Times New Roman" w:hAnsi="Times New Roman" w:cs="Times New Roman"/>
                <w:strike/>
                <w:sz w:val="24"/>
                <w:szCs w:val="24"/>
              </w:rPr>
            </w:pPr>
            <w:r>
              <w:rPr>
                <w:rFonts w:ascii="Times New Roman" w:hAnsi="Times New Roman" w:cs="Times New Roman"/>
                <w:sz w:val="24"/>
                <w:szCs w:val="24"/>
              </w:rPr>
              <w:t>R-19-457</w:t>
            </w:r>
          </w:p>
        </w:tc>
        <w:tc>
          <w:tcPr>
            <w:tcW w:w="1454" w:type="pct"/>
          </w:tcPr>
          <w:p w14:paraId="05E3984A" w14:textId="77777777" w:rsidR="00414B31" w:rsidRDefault="00CD56D1">
            <w:pPr>
              <w:jc w:val="both"/>
              <w:rPr>
                <w:rFonts w:ascii="Times New Roman" w:hAnsi="Times New Roman" w:cs="Times New Roman"/>
                <w:strike/>
                <w:sz w:val="24"/>
                <w:szCs w:val="24"/>
              </w:rPr>
            </w:pPr>
            <w:r>
              <w:rPr>
                <w:rFonts w:ascii="Times New Roman" w:hAnsi="Times New Roman" w:cs="Times New Roman"/>
                <w:sz w:val="24"/>
                <w:szCs w:val="24"/>
              </w:rPr>
              <w:t>If any of the Fuel Adjustment Clause Rates are expected to be more than 1 cent per kWh higher than the rate charged in the previous month, the Company has the obligation to notify the Council within ten (10) days prior to the first billing cycle in which the Fuel Adjustment Clause Rates will be charged.</w:t>
            </w:r>
          </w:p>
        </w:tc>
        <w:tc>
          <w:tcPr>
            <w:tcW w:w="1080" w:type="pct"/>
          </w:tcPr>
          <w:p w14:paraId="07560AAE" w14:textId="77777777" w:rsidR="00414B31" w:rsidRDefault="00CD56D1">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414B31" w14:paraId="2A045B37" w14:textId="77777777">
        <w:tc>
          <w:tcPr>
            <w:tcW w:w="444" w:type="pct"/>
          </w:tcPr>
          <w:p w14:paraId="77463CF8"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A9</w:t>
            </w:r>
          </w:p>
        </w:tc>
        <w:tc>
          <w:tcPr>
            <w:tcW w:w="807" w:type="pct"/>
          </w:tcPr>
          <w:p w14:paraId="5C9DEDE7"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Annual Review of General Service Customers’ Billing Alternate Rate Schedules</w:t>
            </w:r>
          </w:p>
        </w:tc>
        <w:tc>
          <w:tcPr>
            <w:tcW w:w="495" w:type="pct"/>
          </w:tcPr>
          <w:p w14:paraId="31BCA1D8" w14:textId="77777777" w:rsidR="00414B31" w:rsidRDefault="00414B31">
            <w:pPr>
              <w:jc w:val="center"/>
              <w:rPr>
                <w:rFonts w:ascii="Times New Roman" w:hAnsi="Times New Roman" w:cs="Times New Roman"/>
                <w:sz w:val="24"/>
                <w:szCs w:val="24"/>
              </w:rPr>
            </w:pPr>
          </w:p>
        </w:tc>
        <w:tc>
          <w:tcPr>
            <w:tcW w:w="720" w:type="pct"/>
            <w:gridSpan w:val="2"/>
          </w:tcPr>
          <w:p w14:paraId="2C9996AA"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R-93-186</w:t>
            </w:r>
          </w:p>
        </w:tc>
        <w:tc>
          <w:tcPr>
            <w:tcW w:w="1454" w:type="pct"/>
          </w:tcPr>
          <w:p w14:paraId="1B35BE45"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ENO to establish a program to review general service customers’ billing records on an annual basis.</w:t>
            </w:r>
          </w:p>
        </w:tc>
        <w:tc>
          <w:tcPr>
            <w:tcW w:w="1080" w:type="pct"/>
          </w:tcPr>
          <w:p w14:paraId="77D10D9E"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414B31" w14:paraId="476367E8" w14:textId="77777777">
        <w:tc>
          <w:tcPr>
            <w:tcW w:w="444" w:type="pct"/>
          </w:tcPr>
          <w:p w14:paraId="042C075B"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A10</w:t>
            </w:r>
          </w:p>
        </w:tc>
        <w:tc>
          <w:tcPr>
            <w:tcW w:w="807" w:type="pct"/>
          </w:tcPr>
          <w:p w14:paraId="2822CE48"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Annual Statement regarding the nature of inter-</w:t>
            </w:r>
            <w:r>
              <w:rPr>
                <w:rFonts w:ascii="Times New Roman" w:hAnsi="Times New Roman" w:cs="Times New Roman"/>
                <w:sz w:val="24"/>
                <w:szCs w:val="24"/>
              </w:rPr>
              <w:lastRenderedPageBreak/>
              <w:t>company transactions:</w:t>
            </w:r>
          </w:p>
          <w:p w14:paraId="5A5057AD" w14:textId="77777777" w:rsidR="00414B31" w:rsidRDefault="00CD56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Independent Accountants’ Report on Applying Agreed-upon Procedures;</w:t>
            </w:r>
          </w:p>
          <w:p w14:paraId="5740788A" w14:textId="77777777" w:rsidR="00414B31" w:rsidRDefault="00CD56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Annual Report Identifying Non-Clerical Personnel from any Regulated Utility</w:t>
            </w:r>
          </w:p>
          <w:p w14:paraId="5F5D272A" w14:textId="77777777" w:rsidR="00414B31" w:rsidRDefault="00414B31">
            <w:pPr>
              <w:rPr>
                <w:rFonts w:ascii="Times New Roman" w:hAnsi="Times New Roman" w:cs="Times New Roman"/>
                <w:sz w:val="24"/>
                <w:szCs w:val="24"/>
              </w:rPr>
            </w:pPr>
          </w:p>
        </w:tc>
        <w:tc>
          <w:tcPr>
            <w:tcW w:w="495" w:type="pct"/>
          </w:tcPr>
          <w:p w14:paraId="13B458B7" w14:textId="77777777" w:rsidR="00414B31" w:rsidRDefault="00414B31">
            <w:pPr>
              <w:jc w:val="center"/>
              <w:rPr>
                <w:rFonts w:ascii="Times New Roman" w:hAnsi="Times New Roman" w:cs="Times New Roman"/>
                <w:sz w:val="24"/>
                <w:szCs w:val="24"/>
              </w:rPr>
            </w:pPr>
          </w:p>
        </w:tc>
        <w:tc>
          <w:tcPr>
            <w:tcW w:w="720" w:type="pct"/>
            <w:gridSpan w:val="2"/>
          </w:tcPr>
          <w:p w14:paraId="08BC31E3"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 xml:space="preserve">1992 Settlement Agreement (as amended by the 1998 Settlement </w:t>
            </w:r>
            <w:r>
              <w:rPr>
                <w:rFonts w:ascii="Times New Roman" w:hAnsi="Times New Roman" w:cs="Times New Roman"/>
                <w:sz w:val="24"/>
                <w:szCs w:val="24"/>
              </w:rPr>
              <w:lastRenderedPageBreak/>
              <w:t>Agreements with the Council, MPSC, and Entergy Corporation’s compliance with the LPSC affiliate interest conditions in Appendix 3 to the LPSC’s 1993 Order);</w:t>
            </w:r>
          </w:p>
          <w:p w14:paraId="36D276EE"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New Orleans City Code Section 158, Article II, Division 3, Sub-section 158-139 establishes requirements with respect to the reporting of transactions between a utility and its affiliates.</w:t>
            </w:r>
          </w:p>
        </w:tc>
        <w:tc>
          <w:tcPr>
            <w:tcW w:w="1454" w:type="pct"/>
          </w:tcPr>
          <w:p w14:paraId="43295B68"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Entergy Corporation to provide annual statement regarding the nature of inter-company transactions concerning Entergy Corporation </w:t>
            </w:r>
            <w:r>
              <w:rPr>
                <w:rFonts w:ascii="Times New Roman" w:hAnsi="Times New Roman" w:cs="Times New Roman"/>
                <w:sz w:val="24"/>
                <w:szCs w:val="24"/>
              </w:rPr>
              <w:lastRenderedPageBreak/>
              <w:t>including the basis for cost allocation and transfer pricing. Including a list of billing cost drivers in effect each year by which Entergy Services, LLC allocates costs to both regulated and non-regulated affiliates.</w:t>
            </w:r>
          </w:p>
          <w:p w14:paraId="24A4818B"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 xml:space="preserve">A utility must annually file a cost allocation manual that includes: </w:t>
            </w:r>
          </w:p>
          <w:p w14:paraId="560A8664"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An organization chart that illustrates the utility and all of its regulated and unregulated affiliate(s);</w:t>
            </w:r>
          </w:p>
          <w:p w14:paraId="6CD27C72"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Officers of the parent or holding company, the utility, and all of its affiliates, as applicable;</w:t>
            </w:r>
          </w:p>
          <w:p w14:paraId="61FD249D"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 complete description of the types of all costs shared with affiliate(s);</w:t>
            </w:r>
          </w:p>
          <w:p w14:paraId="477276F9"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methodology and procedure used to allocate costs; and</w:t>
            </w:r>
          </w:p>
          <w:p w14:paraId="0D4B036E"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A summary of the total costs incurred from affiliate(s) and how those affiliate(s) costs are allocated. </w:t>
            </w:r>
          </w:p>
          <w:p w14:paraId="11CF45B1" w14:textId="77777777" w:rsidR="00414B31" w:rsidRDefault="00414B31">
            <w:pPr>
              <w:jc w:val="both"/>
              <w:rPr>
                <w:rFonts w:ascii="Times New Roman" w:hAnsi="Times New Roman" w:cs="Times New Roman"/>
                <w:sz w:val="24"/>
                <w:szCs w:val="24"/>
              </w:rPr>
            </w:pPr>
          </w:p>
        </w:tc>
        <w:tc>
          <w:tcPr>
            <w:tcW w:w="1080" w:type="pct"/>
          </w:tcPr>
          <w:p w14:paraId="57B149A7"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lastRenderedPageBreak/>
              <w:t>Maintain Reporting Requirement</w:t>
            </w:r>
          </w:p>
        </w:tc>
      </w:tr>
      <w:tr w:rsidR="00414B31" w14:paraId="56603C9C" w14:textId="77777777">
        <w:tc>
          <w:tcPr>
            <w:tcW w:w="444" w:type="pct"/>
          </w:tcPr>
          <w:p w14:paraId="4B95F9C2"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A11</w:t>
            </w:r>
          </w:p>
        </w:tc>
        <w:tc>
          <w:tcPr>
            <w:tcW w:w="807" w:type="pct"/>
          </w:tcPr>
          <w:p w14:paraId="539B7672"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ENO MISO Cost Recovery Rider (True-up)</w:t>
            </w:r>
          </w:p>
        </w:tc>
        <w:tc>
          <w:tcPr>
            <w:tcW w:w="495" w:type="pct"/>
          </w:tcPr>
          <w:p w14:paraId="0E1BCDA2" w14:textId="77777777" w:rsidR="00414B31" w:rsidRDefault="00414B31">
            <w:pPr>
              <w:jc w:val="center"/>
              <w:rPr>
                <w:rFonts w:ascii="Times New Roman" w:hAnsi="Times New Roman" w:cs="Times New Roman"/>
                <w:sz w:val="24"/>
                <w:szCs w:val="24"/>
              </w:rPr>
            </w:pPr>
          </w:p>
        </w:tc>
        <w:tc>
          <w:tcPr>
            <w:tcW w:w="720" w:type="pct"/>
            <w:gridSpan w:val="2"/>
          </w:tcPr>
          <w:p w14:paraId="5BAC67A3"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R-19-457</w:t>
            </w:r>
          </w:p>
        </w:tc>
        <w:tc>
          <w:tcPr>
            <w:tcW w:w="1454" w:type="pct"/>
          </w:tcPr>
          <w:p w14:paraId="0010C35E"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 xml:space="preserve">On or about May 31, beginning in 2020, the Company shall file a redetermination of the MISO Rider Rates by filing updated versions of Attachments A and B with supporting work-papers and documentation. The Annual Update filing will include a </w:t>
            </w:r>
            <w:r>
              <w:rPr>
                <w:rFonts w:ascii="Times New Roman" w:hAnsi="Times New Roman" w:cs="Times New Roman"/>
                <w:sz w:val="24"/>
                <w:szCs w:val="24"/>
              </w:rPr>
              <w:lastRenderedPageBreak/>
              <w:t>True-up Adjustment as calculated on Attachment B, Page 4.</w:t>
            </w:r>
          </w:p>
        </w:tc>
        <w:tc>
          <w:tcPr>
            <w:tcW w:w="1080" w:type="pct"/>
          </w:tcPr>
          <w:p w14:paraId="1E2396E3"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lastRenderedPageBreak/>
              <w:t>Maintain Reporting Requirement</w:t>
            </w:r>
          </w:p>
        </w:tc>
      </w:tr>
      <w:tr w:rsidR="00414B31" w14:paraId="3CC06D89" w14:textId="77777777">
        <w:tc>
          <w:tcPr>
            <w:tcW w:w="444" w:type="pct"/>
          </w:tcPr>
          <w:p w14:paraId="45021259"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A12</w:t>
            </w:r>
          </w:p>
        </w:tc>
        <w:tc>
          <w:tcPr>
            <w:tcW w:w="807" w:type="pct"/>
          </w:tcPr>
          <w:p w14:paraId="7B86CCD3"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Bi-Annual Application to the City Council for Approval of the Financing Plan</w:t>
            </w:r>
          </w:p>
        </w:tc>
        <w:tc>
          <w:tcPr>
            <w:tcW w:w="495" w:type="pct"/>
          </w:tcPr>
          <w:p w14:paraId="7D6CBB73" w14:textId="77777777" w:rsidR="00414B31" w:rsidRDefault="00414B31">
            <w:pPr>
              <w:jc w:val="center"/>
              <w:rPr>
                <w:rFonts w:ascii="Times New Roman" w:hAnsi="Times New Roman" w:cs="Times New Roman"/>
                <w:sz w:val="24"/>
                <w:szCs w:val="24"/>
              </w:rPr>
            </w:pPr>
          </w:p>
        </w:tc>
        <w:tc>
          <w:tcPr>
            <w:tcW w:w="720" w:type="pct"/>
            <w:gridSpan w:val="2"/>
          </w:tcPr>
          <w:p w14:paraId="4F603445" w14:textId="77777777" w:rsidR="00414B31" w:rsidRDefault="00414B31">
            <w:pPr>
              <w:jc w:val="center"/>
              <w:rPr>
                <w:rFonts w:ascii="Times New Roman" w:hAnsi="Times New Roman" w:cs="Times New Roman"/>
                <w:sz w:val="24"/>
                <w:szCs w:val="24"/>
              </w:rPr>
            </w:pPr>
          </w:p>
        </w:tc>
        <w:tc>
          <w:tcPr>
            <w:tcW w:w="1454" w:type="pct"/>
          </w:tcPr>
          <w:p w14:paraId="38C220E5"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Pursuant to the 1922 Franchise Ordinance No. 6822 and the most recent approved Council Financing Approval Resolution, ENO is to file Bi-annually (in even years) - its Financing Plans seeking a blanket approval to sell bonds and preferred stock for the next two (2) years.</w:t>
            </w:r>
          </w:p>
        </w:tc>
        <w:tc>
          <w:tcPr>
            <w:tcW w:w="1080" w:type="pct"/>
          </w:tcPr>
          <w:p w14:paraId="0A74C544"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414B31" w14:paraId="0515129C" w14:textId="77777777">
        <w:tc>
          <w:tcPr>
            <w:tcW w:w="444" w:type="pct"/>
          </w:tcPr>
          <w:p w14:paraId="3D370493"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A13</w:t>
            </w:r>
          </w:p>
        </w:tc>
        <w:tc>
          <w:tcPr>
            <w:tcW w:w="807" w:type="pct"/>
          </w:tcPr>
          <w:p w14:paraId="02B75326"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Bi-Annual Reporting of Data in Accordance with Section 210 of the Public Utility Regulatory Policy Act of 1978</w:t>
            </w:r>
          </w:p>
        </w:tc>
        <w:tc>
          <w:tcPr>
            <w:tcW w:w="495" w:type="pct"/>
          </w:tcPr>
          <w:p w14:paraId="4DFD80D1" w14:textId="77777777" w:rsidR="00414B31" w:rsidRDefault="00414B31">
            <w:pPr>
              <w:jc w:val="center"/>
              <w:rPr>
                <w:rFonts w:ascii="Times New Roman" w:hAnsi="Times New Roman" w:cs="Times New Roman"/>
                <w:sz w:val="24"/>
                <w:szCs w:val="24"/>
              </w:rPr>
            </w:pPr>
          </w:p>
        </w:tc>
        <w:tc>
          <w:tcPr>
            <w:tcW w:w="720" w:type="pct"/>
            <w:gridSpan w:val="2"/>
          </w:tcPr>
          <w:p w14:paraId="1143AB9F" w14:textId="77777777" w:rsidR="00414B31" w:rsidRDefault="00414B31">
            <w:pPr>
              <w:jc w:val="center"/>
              <w:rPr>
                <w:rFonts w:ascii="Times New Roman" w:hAnsi="Times New Roman" w:cs="Times New Roman"/>
                <w:sz w:val="24"/>
                <w:szCs w:val="24"/>
              </w:rPr>
            </w:pPr>
          </w:p>
        </w:tc>
        <w:tc>
          <w:tcPr>
            <w:tcW w:w="1454" w:type="pct"/>
          </w:tcPr>
          <w:p w14:paraId="6C1BA722"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 xml:space="preserve">Pursuant to the Public Utility Regulatory Policy Act of 1978, Section 210, ENO is to file Bi-annually (in even years) - its calculated “Avoided Costs” Forecast for the filing year and the next five (5) years; and, a high level Generation Forecast for the next ten (10) years.  This is an informational filing and no action is to be taken by the Council. </w:t>
            </w:r>
          </w:p>
        </w:tc>
        <w:tc>
          <w:tcPr>
            <w:tcW w:w="1080" w:type="pct"/>
          </w:tcPr>
          <w:p w14:paraId="7BE7C247"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414B31" w14:paraId="796328FE" w14:textId="77777777">
        <w:tc>
          <w:tcPr>
            <w:tcW w:w="444" w:type="pct"/>
          </w:tcPr>
          <w:p w14:paraId="1477A50B"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A14</w:t>
            </w:r>
          </w:p>
        </w:tc>
        <w:tc>
          <w:tcPr>
            <w:tcW w:w="807" w:type="pct"/>
          </w:tcPr>
          <w:p w14:paraId="4D035D94"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Quarterly Report of Entergy Corporation’s proportionate share of its Regulated Utilities’ assets, operating and maintenance expenses (per Rule 53 Settlement Agreement)</w:t>
            </w:r>
          </w:p>
        </w:tc>
        <w:tc>
          <w:tcPr>
            <w:tcW w:w="495" w:type="pct"/>
          </w:tcPr>
          <w:p w14:paraId="1529D4A7" w14:textId="77777777" w:rsidR="00414B31" w:rsidRDefault="00414B31">
            <w:pPr>
              <w:jc w:val="center"/>
              <w:rPr>
                <w:rFonts w:ascii="Times New Roman" w:hAnsi="Times New Roman" w:cs="Times New Roman"/>
                <w:sz w:val="24"/>
                <w:szCs w:val="24"/>
              </w:rPr>
            </w:pPr>
          </w:p>
        </w:tc>
        <w:tc>
          <w:tcPr>
            <w:tcW w:w="720" w:type="pct"/>
            <w:gridSpan w:val="2"/>
          </w:tcPr>
          <w:p w14:paraId="00CFD500"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R-98-187</w:t>
            </w:r>
          </w:p>
          <w:p w14:paraId="402B1BAB"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(Rule 53 Settlement Agreement</w:t>
            </w:r>
          </w:p>
        </w:tc>
        <w:tc>
          <w:tcPr>
            <w:tcW w:w="1454" w:type="pct"/>
          </w:tcPr>
          <w:p w14:paraId="50D15194"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Pursuant to the April 10, 1998 Rule 53 Settlement Agreement applicable to Entergy Corporation’s Non-Regulated Investments filed with the Securities and Exchange Commission (“SEC”), on a quarterly basis, Entergy Corporation was directed to provide the SEC with a report detailing the Regulated Utilities’ proportionate share of the consolidated total Entergy Corporation’s assets, operating and maintenance expenses.  Resolution R-</w:t>
            </w:r>
            <w:r>
              <w:rPr>
                <w:rFonts w:ascii="Times New Roman" w:hAnsi="Times New Roman" w:cs="Times New Roman"/>
                <w:sz w:val="24"/>
                <w:szCs w:val="24"/>
              </w:rPr>
              <w:lastRenderedPageBreak/>
              <w:t xml:space="preserve">98-187 adopted a Settlement Agreement among the Council, ENO, and [Entergy Louisiana LLC] authorizing the to file a Letter of Certification with the SEC relative to Entergy Corporations’ unregulated investments and to execute a Settlement Agreement to ensure the retail ratepayers of New Orleans are protected from any adverse consequences of Entergy Corporations’ non-regulated investments in foreign utility companies and exempt wholesale generators. </w:t>
            </w:r>
          </w:p>
          <w:p w14:paraId="093373A2" w14:textId="77777777" w:rsidR="00414B31" w:rsidRDefault="00414B31">
            <w:pPr>
              <w:jc w:val="both"/>
              <w:rPr>
                <w:rFonts w:ascii="Times New Roman" w:hAnsi="Times New Roman" w:cs="Times New Roman"/>
                <w:sz w:val="24"/>
                <w:szCs w:val="24"/>
              </w:rPr>
            </w:pPr>
          </w:p>
        </w:tc>
        <w:tc>
          <w:tcPr>
            <w:tcW w:w="1080" w:type="pct"/>
          </w:tcPr>
          <w:p w14:paraId="15E7D1AA"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lastRenderedPageBreak/>
              <w:t>Maintain Reporting Requirement</w:t>
            </w:r>
          </w:p>
        </w:tc>
      </w:tr>
      <w:tr w:rsidR="00414B31" w14:paraId="30410475" w14:textId="77777777">
        <w:tc>
          <w:tcPr>
            <w:tcW w:w="444" w:type="pct"/>
          </w:tcPr>
          <w:p w14:paraId="6C2887FD"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A15</w:t>
            </w:r>
          </w:p>
        </w:tc>
        <w:tc>
          <w:tcPr>
            <w:tcW w:w="807" w:type="pct"/>
          </w:tcPr>
          <w:p w14:paraId="69F5EE84"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Annual 1992 Affiliate Settlement Agreement Report pursuant to the 1998 revision &amp; R-98-187</w:t>
            </w:r>
          </w:p>
        </w:tc>
        <w:tc>
          <w:tcPr>
            <w:tcW w:w="495" w:type="pct"/>
          </w:tcPr>
          <w:p w14:paraId="1ACC36AA" w14:textId="77777777" w:rsidR="00414B31" w:rsidRDefault="00414B31">
            <w:pPr>
              <w:jc w:val="center"/>
              <w:rPr>
                <w:rFonts w:ascii="Times New Roman" w:hAnsi="Times New Roman" w:cs="Times New Roman"/>
                <w:sz w:val="24"/>
                <w:szCs w:val="24"/>
              </w:rPr>
            </w:pPr>
          </w:p>
        </w:tc>
        <w:tc>
          <w:tcPr>
            <w:tcW w:w="720" w:type="pct"/>
            <w:gridSpan w:val="2"/>
          </w:tcPr>
          <w:p w14:paraId="2759E323"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R-98-187</w:t>
            </w:r>
          </w:p>
        </w:tc>
        <w:tc>
          <w:tcPr>
            <w:tcW w:w="1454" w:type="pct"/>
          </w:tcPr>
          <w:p w14:paraId="3E6B8537"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A Settlement was reached in a Federal filing related to PUHCA revisions of Rule 53 related to Affiliates and holding company transactions.  This 1992 settlement was later revised and ratified by jurisdictional regulatory commissions in 1998.  This later revision required each operating company to file annually compliance verification with regards to affiliate reporting.</w:t>
            </w:r>
          </w:p>
        </w:tc>
        <w:tc>
          <w:tcPr>
            <w:tcW w:w="1080" w:type="pct"/>
          </w:tcPr>
          <w:p w14:paraId="3DE25E1B"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414B31" w14:paraId="24FD8368" w14:textId="77777777">
        <w:tc>
          <w:tcPr>
            <w:tcW w:w="444" w:type="pct"/>
          </w:tcPr>
          <w:p w14:paraId="4954BD64"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A16</w:t>
            </w:r>
          </w:p>
        </w:tc>
        <w:tc>
          <w:tcPr>
            <w:tcW w:w="807" w:type="pct"/>
          </w:tcPr>
          <w:p w14:paraId="52F28AB5"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Annual Gas Marketing Justification (Hedging Request) Report</w:t>
            </w:r>
          </w:p>
        </w:tc>
        <w:tc>
          <w:tcPr>
            <w:tcW w:w="495" w:type="pct"/>
          </w:tcPr>
          <w:p w14:paraId="3DC01261" w14:textId="77777777" w:rsidR="00414B31" w:rsidRDefault="00414B31">
            <w:pPr>
              <w:jc w:val="center"/>
              <w:rPr>
                <w:rFonts w:ascii="Times New Roman" w:hAnsi="Times New Roman" w:cs="Times New Roman"/>
                <w:sz w:val="24"/>
                <w:szCs w:val="24"/>
              </w:rPr>
            </w:pPr>
          </w:p>
        </w:tc>
        <w:tc>
          <w:tcPr>
            <w:tcW w:w="720" w:type="pct"/>
            <w:gridSpan w:val="2"/>
          </w:tcPr>
          <w:p w14:paraId="0C8DD7CD" w14:textId="77777777" w:rsidR="00414B31" w:rsidRDefault="00414B31">
            <w:pPr>
              <w:jc w:val="center"/>
              <w:rPr>
                <w:rFonts w:ascii="Times New Roman" w:hAnsi="Times New Roman" w:cs="Times New Roman"/>
                <w:sz w:val="24"/>
                <w:szCs w:val="24"/>
              </w:rPr>
            </w:pPr>
          </w:p>
        </w:tc>
        <w:tc>
          <w:tcPr>
            <w:tcW w:w="1454" w:type="pct"/>
          </w:tcPr>
          <w:p w14:paraId="389C8EAB"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As a result of high gas prices in the winter of 2000-2001, the Council authorized ENO to enter into Hedging arrangements for winter gas.  This program was suspended post-Hurricane Katrina and was later re-</w:t>
            </w:r>
            <w:r>
              <w:rPr>
                <w:rFonts w:ascii="Times New Roman" w:hAnsi="Times New Roman" w:cs="Times New Roman"/>
                <w:sz w:val="24"/>
                <w:szCs w:val="24"/>
              </w:rPr>
              <w:lastRenderedPageBreak/>
              <w:t>adopted.   Each March, the Company files its request to hedge the upcoming winter gas.  Generally, the approval for such hedging contracts is granted to the company via a Council Resolution.</w:t>
            </w:r>
          </w:p>
        </w:tc>
        <w:tc>
          <w:tcPr>
            <w:tcW w:w="1080" w:type="pct"/>
          </w:tcPr>
          <w:p w14:paraId="6919FCA0"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lastRenderedPageBreak/>
              <w:t>Maintain Reporting Requirement</w:t>
            </w:r>
          </w:p>
        </w:tc>
      </w:tr>
      <w:tr w:rsidR="00414B31" w14:paraId="4DCCC64B" w14:textId="77777777">
        <w:tc>
          <w:tcPr>
            <w:tcW w:w="444" w:type="pct"/>
          </w:tcPr>
          <w:p w14:paraId="2CA6FB3C"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A17</w:t>
            </w:r>
          </w:p>
        </w:tc>
        <w:tc>
          <w:tcPr>
            <w:tcW w:w="807" w:type="pct"/>
          </w:tcPr>
          <w:p w14:paraId="1D00E718"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Monthly EAC Rate Filing</w:t>
            </w:r>
          </w:p>
        </w:tc>
        <w:tc>
          <w:tcPr>
            <w:tcW w:w="495" w:type="pct"/>
          </w:tcPr>
          <w:p w14:paraId="46AE4355" w14:textId="77777777" w:rsidR="00414B31" w:rsidRDefault="00414B31">
            <w:pPr>
              <w:jc w:val="center"/>
              <w:rPr>
                <w:rFonts w:ascii="Times New Roman" w:hAnsi="Times New Roman" w:cs="Times New Roman"/>
                <w:sz w:val="24"/>
                <w:szCs w:val="24"/>
              </w:rPr>
            </w:pPr>
          </w:p>
        </w:tc>
        <w:tc>
          <w:tcPr>
            <w:tcW w:w="720" w:type="pct"/>
            <w:gridSpan w:val="2"/>
          </w:tcPr>
          <w:p w14:paraId="2659F5E3"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R-11-175</w:t>
            </w:r>
          </w:p>
        </w:tc>
        <w:tc>
          <w:tcPr>
            <w:tcW w:w="1454" w:type="pct"/>
          </w:tcPr>
          <w:p w14:paraId="643ACF6B"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Recovery of emission allowance costs.</w:t>
            </w:r>
          </w:p>
        </w:tc>
        <w:tc>
          <w:tcPr>
            <w:tcW w:w="1080" w:type="pct"/>
          </w:tcPr>
          <w:p w14:paraId="7BD73D0E" w14:textId="77777777" w:rsidR="00414B31" w:rsidRDefault="00CD56D1">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p w14:paraId="3F34206D" w14:textId="7EE03ED4" w:rsidR="003D27A1" w:rsidRDefault="003D27A1">
            <w:pPr>
              <w:jc w:val="center"/>
              <w:rPr>
                <w:rFonts w:ascii="Times New Roman" w:hAnsi="Times New Roman" w:cs="Times New Roman"/>
                <w:sz w:val="24"/>
                <w:szCs w:val="24"/>
              </w:rPr>
            </w:pPr>
          </w:p>
        </w:tc>
      </w:tr>
      <w:tr w:rsidR="00414B31" w14:paraId="524858F9" w14:textId="77777777">
        <w:tc>
          <w:tcPr>
            <w:tcW w:w="444" w:type="pct"/>
          </w:tcPr>
          <w:p w14:paraId="43E01D23" w14:textId="77777777" w:rsidR="00414B31" w:rsidRDefault="00CD56D1">
            <w:pPr>
              <w:jc w:val="center"/>
              <w:rPr>
                <w:rFonts w:ascii="Times New Roman" w:hAnsi="Times New Roman" w:cs="Times New Roman"/>
                <w:b/>
                <w:sz w:val="24"/>
                <w:szCs w:val="24"/>
              </w:rPr>
            </w:pPr>
            <w:r>
              <w:rPr>
                <w:rFonts w:ascii="Times New Roman" w:hAnsi="Times New Roman" w:cs="Times New Roman"/>
                <w:b/>
                <w:sz w:val="24"/>
                <w:szCs w:val="24"/>
              </w:rPr>
              <w:t>A18</w:t>
            </w:r>
          </w:p>
        </w:tc>
        <w:tc>
          <w:tcPr>
            <w:tcW w:w="807" w:type="pct"/>
          </w:tcPr>
          <w:p w14:paraId="07CAA527" w14:textId="77777777" w:rsidR="00414B31" w:rsidRDefault="00CD56D1">
            <w:pPr>
              <w:rPr>
                <w:rFonts w:ascii="Times New Roman" w:hAnsi="Times New Roman" w:cs="Times New Roman"/>
                <w:sz w:val="24"/>
                <w:szCs w:val="24"/>
              </w:rPr>
            </w:pPr>
            <w:r>
              <w:rPr>
                <w:rFonts w:ascii="Times New Roman" w:hAnsi="Times New Roman" w:cs="Times New Roman"/>
                <w:sz w:val="24"/>
                <w:szCs w:val="24"/>
              </w:rPr>
              <w:t>Monthly Purchased Power Cost Recovery Rider (PPCR)</w:t>
            </w:r>
          </w:p>
        </w:tc>
        <w:tc>
          <w:tcPr>
            <w:tcW w:w="495" w:type="pct"/>
          </w:tcPr>
          <w:p w14:paraId="042E900E" w14:textId="77777777" w:rsidR="00414B31" w:rsidRDefault="00414B31">
            <w:pPr>
              <w:jc w:val="center"/>
              <w:rPr>
                <w:rFonts w:ascii="Times New Roman" w:hAnsi="Times New Roman" w:cs="Times New Roman"/>
                <w:sz w:val="24"/>
                <w:szCs w:val="24"/>
              </w:rPr>
            </w:pPr>
          </w:p>
        </w:tc>
        <w:tc>
          <w:tcPr>
            <w:tcW w:w="720" w:type="pct"/>
            <w:gridSpan w:val="2"/>
          </w:tcPr>
          <w:p w14:paraId="0959161F" w14:textId="77777777" w:rsidR="00414B31" w:rsidRDefault="00CD56D1">
            <w:pPr>
              <w:jc w:val="center"/>
              <w:rPr>
                <w:rFonts w:ascii="Times New Roman" w:hAnsi="Times New Roman" w:cs="Times New Roman"/>
                <w:sz w:val="24"/>
                <w:szCs w:val="24"/>
              </w:rPr>
            </w:pPr>
            <w:r>
              <w:rPr>
                <w:rFonts w:ascii="Times New Roman" w:hAnsi="Times New Roman" w:cs="Times New Roman"/>
                <w:sz w:val="24"/>
                <w:szCs w:val="24"/>
              </w:rPr>
              <w:t>R-19-457</w:t>
            </w:r>
          </w:p>
        </w:tc>
        <w:tc>
          <w:tcPr>
            <w:tcW w:w="1454" w:type="pct"/>
          </w:tcPr>
          <w:p w14:paraId="39B25D1B" w14:textId="77777777" w:rsidR="00414B31" w:rsidRDefault="00CD56D1">
            <w:pPr>
              <w:jc w:val="both"/>
              <w:rPr>
                <w:rFonts w:ascii="Times New Roman" w:hAnsi="Times New Roman" w:cs="Times New Roman"/>
                <w:sz w:val="24"/>
                <w:szCs w:val="24"/>
              </w:rPr>
            </w:pPr>
            <w:r>
              <w:rPr>
                <w:rFonts w:ascii="Times New Roman" w:hAnsi="Times New Roman" w:cs="Times New Roman"/>
                <w:sz w:val="24"/>
                <w:szCs w:val="24"/>
              </w:rPr>
              <w:t xml:space="preserve">To provide contemporaneous cost recovery of the incremental difference between the estimated PPA capacity costs and Long-Term Service Agreements (LTSA) expenses in base rates and the actual expenses incurred monthly.  </w:t>
            </w:r>
          </w:p>
        </w:tc>
        <w:tc>
          <w:tcPr>
            <w:tcW w:w="1080" w:type="pct"/>
          </w:tcPr>
          <w:p w14:paraId="0AAAB758" w14:textId="77777777" w:rsidR="00414B31" w:rsidRDefault="00CD56D1">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754F37" w14:paraId="59482643" w14:textId="77777777">
        <w:tc>
          <w:tcPr>
            <w:tcW w:w="444" w:type="pct"/>
          </w:tcPr>
          <w:p w14:paraId="4F09519C" w14:textId="7CAD2771"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A19</w:t>
            </w:r>
          </w:p>
        </w:tc>
        <w:tc>
          <w:tcPr>
            <w:tcW w:w="807" w:type="pct"/>
          </w:tcPr>
          <w:p w14:paraId="338CA052" w14:textId="5E7DF0A4" w:rsidR="00754F37" w:rsidRDefault="00754F37" w:rsidP="00754F37">
            <w:pPr>
              <w:rPr>
                <w:rFonts w:ascii="Times New Roman" w:hAnsi="Times New Roman" w:cs="Times New Roman"/>
                <w:sz w:val="24"/>
                <w:szCs w:val="24"/>
              </w:rPr>
            </w:pPr>
            <w:bookmarkStart w:id="0" w:name="_Hlk129701178"/>
            <w:r>
              <w:rPr>
                <w:rFonts w:ascii="Times New Roman" w:hAnsi="Times New Roman" w:cs="Times New Roman"/>
                <w:sz w:val="24"/>
                <w:szCs w:val="24"/>
              </w:rPr>
              <w:t xml:space="preserve">NOPS Quarterly </w:t>
            </w:r>
            <w:r w:rsidR="00D55746">
              <w:rPr>
                <w:rFonts w:ascii="Times New Roman" w:hAnsi="Times New Roman" w:cs="Times New Roman"/>
                <w:sz w:val="24"/>
                <w:szCs w:val="24"/>
              </w:rPr>
              <w:t xml:space="preserve">Expenditures </w:t>
            </w:r>
            <w:r>
              <w:rPr>
                <w:rFonts w:ascii="Times New Roman" w:hAnsi="Times New Roman" w:cs="Times New Roman"/>
                <w:sz w:val="24"/>
                <w:szCs w:val="24"/>
              </w:rPr>
              <w:t>Reports</w:t>
            </w:r>
            <w:bookmarkEnd w:id="0"/>
          </w:p>
        </w:tc>
        <w:tc>
          <w:tcPr>
            <w:tcW w:w="495" w:type="pct"/>
          </w:tcPr>
          <w:p w14:paraId="34EF2AAE" w14:textId="2C3548AF"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133226A9"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p w14:paraId="0601E702"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Ordering Paragraph 4</w:t>
            </w:r>
          </w:p>
          <w:p w14:paraId="56451439" w14:textId="1207E164"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(at p. 14)</w:t>
            </w:r>
          </w:p>
        </w:tc>
        <w:tc>
          <w:tcPr>
            <w:tcW w:w="1454" w:type="pct"/>
          </w:tcPr>
          <w:p w14:paraId="535E6C81"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R-19-78, p. 14 (Resolution and Order Imposing Sanctions; Directing Cost Protections and other Modifications to New Orleans Power Station (“NOPS”)) directs ENO to file quarterly reports with the Council detailing the NOPS expenditures each quarter.</w:t>
            </w:r>
          </w:p>
          <w:p w14:paraId="3325C5B2" w14:textId="77777777" w:rsidR="00754F37" w:rsidRDefault="00754F37" w:rsidP="00754F37">
            <w:pPr>
              <w:jc w:val="both"/>
              <w:rPr>
                <w:rFonts w:ascii="Times New Roman" w:hAnsi="Times New Roman" w:cs="Times New Roman"/>
                <w:sz w:val="24"/>
                <w:szCs w:val="24"/>
              </w:rPr>
            </w:pPr>
          </w:p>
        </w:tc>
        <w:tc>
          <w:tcPr>
            <w:tcW w:w="1080" w:type="pct"/>
          </w:tcPr>
          <w:p w14:paraId="4B1E0239" w14:textId="3389D975"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20EA557C" w14:textId="77777777">
        <w:tc>
          <w:tcPr>
            <w:tcW w:w="444" w:type="pct"/>
          </w:tcPr>
          <w:p w14:paraId="3203F326"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A20</w:t>
            </w:r>
          </w:p>
        </w:tc>
        <w:tc>
          <w:tcPr>
            <w:tcW w:w="807" w:type="pct"/>
          </w:tcPr>
          <w:p w14:paraId="5C93D7F6"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Monthly PGA Report</w:t>
            </w:r>
          </w:p>
        </w:tc>
        <w:tc>
          <w:tcPr>
            <w:tcW w:w="495" w:type="pct"/>
          </w:tcPr>
          <w:p w14:paraId="2ED0EC6F" w14:textId="77777777" w:rsidR="00754F37" w:rsidRDefault="00754F37" w:rsidP="00754F37">
            <w:pPr>
              <w:jc w:val="center"/>
              <w:rPr>
                <w:rFonts w:ascii="Times New Roman" w:hAnsi="Times New Roman" w:cs="Times New Roman"/>
                <w:sz w:val="24"/>
                <w:szCs w:val="24"/>
              </w:rPr>
            </w:pPr>
          </w:p>
        </w:tc>
        <w:tc>
          <w:tcPr>
            <w:tcW w:w="720" w:type="pct"/>
            <w:gridSpan w:val="2"/>
          </w:tcPr>
          <w:p w14:paraId="200B1FAA"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R-95-361</w:t>
            </w:r>
          </w:p>
          <w:p w14:paraId="65CA7F38"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R-05—518</w:t>
            </w:r>
          </w:p>
          <w:p w14:paraId="247F659B"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R-05-547</w:t>
            </w:r>
          </w:p>
        </w:tc>
        <w:tc>
          <w:tcPr>
            <w:tcW w:w="1454" w:type="pct"/>
          </w:tcPr>
          <w:p w14:paraId="4669B21E"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Recovery of Resale Gas expense for local distribution company (“LDC”) business.</w:t>
            </w:r>
          </w:p>
        </w:tc>
        <w:tc>
          <w:tcPr>
            <w:tcW w:w="1080" w:type="pct"/>
          </w:tcPr>
          <w:p w14:paraId="5FE2F553"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754F37" w14:paraId="6CF2DF04" w14:textId="77777777">
        <w:tc>
          <w:tcPr>
            <w:tcW w:w="444" w:type="pct"/>
          </w:tcPr>
          <w:p w14:paraId="58DE31D7"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A21</w:t>
            </w:r>
          </w:p>
        </w:tc>
        <w:tc>
          <w:tcPr>
            <w:tcW w:w="807" w:type="pct"/>
          </w:tcPr>
          <w:p w14:paraId="5F2ADCFF"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Annual Energy Efficiency Rider Rate Report</w:t>
            </w:r>
          </w:p>
        </w:tc>
        <w:tc>
          <w:tcPr>
            <w:tcW w:w="495" w:type="pct"/>
          </w:tcPr>
          <w:p w14:paraId="0A6CFEF4" w14:textId="77777777" w:rsidR="00754F37" w:rsidRDefault="00754F37" w:rsidP="00754F37">
            <w:pPr>
              <w:jc w:val="center"/>
              <w:rPr>
                <w:rFonts w:ascii="Times New Roman" w:hAnsi="Times New Roman" w:cs="Times New Roman"/>
                <w:sz w:val="24"/>
                <w:szCs w:val="24"/>
              </w:rPr>
            </w:pPr>
          </w:p>
        </w:tc>
        <w:tc>
          <w:tcPr>
            <w:tcW w:w="720" w:type="pct"/>
            <w:gridSpan w:val="2"/>
          </w:tcPr>
          <w:p w14:paraId="127D81BA"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R-17-623</w:t>
            </w:r>
          </w:p>
          <w:p w14:paraId="73E6810D"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R-15-140</w:t>
            </w:r>
          </w:p>
          <w:p w14:paraId="6CF1D0AC"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R-17-176</w:t>
            </w:r>
          </w:p>
        </w:tc>
        <w:tc>
          <w:tcPr>
            <w:tcW w:w="1454" w:type="pct"/>
          </w:tcPr>
          <w:p w14:paraId="13DF478E"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Recovery of Energy Efficiency Program costs.</w:t>
            </w:r>
          </w:p>
        </w:tc>
        <w:tc>
          <w:tcPr>
            <w:tcW w:w="1080" w:type="pct"/>
          </w:tcPr>
          <w:p w14:paraId="77C8C9CE"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754F37" w14:paraId="0087F94A" w14:textId="77777777">
        <w:tc>
          <w:tcPr>
            <w:tcW w:w="444" w:type="pct"/>
          </w:tcPr>
          <w:p w14:paraId="3C628DF8"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lastRenderedPageBreak/>
              <w:t>A22</w:t>
            </w:r>
          </w:p>
        </w:tc>
        <w:tc>
          <w:tcPr>
            <w:tcW w:w="807" w:type="pct"/>
          </w:tcPr>
          <w:p w14:paraId="2BED4421" w14:textId="77777777" w:rsidR="00754F37" w:rsidRDefault="00754F37" w:rsidP="00754F37">
            <w:pPr>
              <w:rPr>
                <w:rFonts w:ascii="Times New Roman" w:hAnsi="Times New Roman" w:cs="Times New Roman"/>
                <w:strike/>
                <w:sz w:val="24"/>
                <w:szCs w:val="24"/>
              </w:rPr>
            </w:pPr>
            <w:r>
              <w:rPr>
                <w:rFonts w:ascii="Times New Roman" w:hAnsi="Times New Roman" w:cs="Times New Roman"/>
                <w:sz w:val="24"/>
                <w:szCs w:val="24"/>
              </w:rPr>
              <w:t>Annual Gas Distribution System Report</w:t>
            </w:r>
          </w:p>
        </w:tc>
        <w:tc>
          <w:tcPr>
            <w:tcW w:w="495" w:type="pct"/>
          </w:tcPr>
          <w:p w14:paraId="485B6215" w14:textId="77777777" w:rsidR="00754F37" w:rsidRDefault="00754F37" w:rsidP="00754F37">
            <w:pPr>
              <w:jc w:val="center"/>
              <w:rPr>
                <w:rFonts w:ascii="Times New Roman" w:hAnsi="Times New Roman" w:cs="Times New Roman"/>
                <w:strike/>
                <w:sz w:val="24"/>
                <w:szCs w:val="24"/>
              </w:rPr>
            </w:pPr>
          </w:p>
        </w:tc>
        <w:tc>
          <w:tcPr>
            <w:tcW w:w="720" w:type="pct"/>
            <w:gridSpan w:val="2"/>
          </w:tcPr>
          <w:p w14:paraId="74CE8D07" w14:textId="77777777" w:rsidR="00754F37" w:rsidRDefault="00754F37" w:rsidP="00754F37">
            <w:pPr>
              <w:jc w:val="center"/>
              <w:rPr>
                <w:rFonts w:ascii="Times New Roman" w:hAnsi="Times New Roman" w:cs="Times New Roman"/>
                <w:strike/>
                <w:sz w:val="24"/>
                <w:szCs w:val="24"/>
              </w:rPr>
            </w:pPr>
            <w:r>
              <w:rPr>
                <w:rFonts w:ascii="Times New Roman" w:hAnsi="Times New Roman" w:cs="Times New Roman"/>
                <w:sz w:val="24"/>
                <w:szCs w:val="24"/>
              </w:rPr>
              <w:t>R-05-518 and R-06-401</w:t>
            </w:r>
          </w:p>
        </w:tc>
        <w:tc>
          <w:tcPr>
            <w:tcW w:w="1454" w:type="pct"/>
          </w:tcPr>
          <w:p w14:paraId="330537BC" w14:textId="77777777" w:rsidR="00754F37" w:rsidRDefault="00754F37" w:rsidP="00754F37">
            <w:pPr>
              <w:jc w:val="both"/>
              <w:rPr>
                <w:rFonts w:ascii="Times New Roman" w:hAnsi="Times New Roman" w:cs="Times New Roman"/>
                <w:strike/>
                <w:sz w:val="24"/>
                <w:szCs w:val="24"/>
              </w:rPr>
            </w:pPr>
            <w:r>
              <w:rPr>
                <w:rFonts w:ascii="Times New Roman" w:hAnsi="Times New Roman" w:cs="Times New Roman"/>
                <w:sz w:val="24"/>
                <w:szCs w:val="24"/>
              </w:rPr>
              <w:t>Reporting requirements are outlined in Attachment A (“Agreement in Principle”) to Council Resolution R-05-518, dated October 12, 2005.  These filing requirements were originally suspended as a result of Hurricane Katrina and later reinstated by Council Resolution R-06-401, dated September 21, 2006.</w:t>
            </w:r>
          </w:p>
        </w:tc>
        <w:tc>
          <w:tcPr>
            <w:tcW w:w="1080" w:type="pct"/>
          </w:tcPr>
          <w:p w14:paraId="6A37FA3E"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754F37" w14:paraId="0C5B0AC0" w14:textId="77777777">
        <w:tc>
          <w:tcPr>
            <w:tcW w:w="444" w:type="pct"/>
          </w:tcPr>
          <w:p w14:paraId="7B733A69"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 xml:space="preserve">A23 </w:t>
            </w:r>
          </w:p>
        </w:tc>
        <w:tc>
          <w:tcPr>
            <w:tcW w:w="807" w:type="pct"/>
          </w:tcPr>
          <w:p w14:paraId="0E94C6A2"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Distributed Energy Resources Report</w:t>
            </w:r>
          </w:p>
          <w:p w14:paraId="7C94F6DC" w14:textId="77777777" w:rsidR="00754F37" w:rsidRDefault="00754F37" w:rsidP="00754F37">
            <w:pPr>
              <w:rPr>
                <w:rFonts w:ascii="Times New Roman" w:hAnsi="Times New Roman" w:cs="Times New Roman"/>
                <w:strike/>
                <w:color w:val="000000" w:themeColor="text1"/>
                <w:sz w:val="24"/>
                <w:szCs w:val="24"/>
              </w:rPr>
            </w:pPr>
          </w:p>
        </w:tc>
        <w:tc>
          <w:tcPr>
            <w:tcW w:w="495" w:type="pct"/>
          </w:tcPr>
          <w:p w14:paraId="79CF5718" w14:textId="77777777" w:rsidR="00754F37" w:rsidRDefault="00754F37" w:rsidP="00754F37">
            <w:pPr>
              <w:jc w:val="center"/>
              <w:rPr>
                <w:rFonts w:ascii="Times New Roman" w:hAnsi="Times New Roman" w:cs="Times New Roman"/>
                <w:strike/>
                <w:color w:val="000000" w:themeColor="text1"/>
                <w:sz w:val="24"/>
                <w:szCs w:val="24"/>
              </w:rPr>
            </w:pPr>
          </w:p>
        </w:tc>
        <w:tc>
          <w:tcPr>
            <w:tcW w:w="720" w:type="pct"/>
            <w:gridSpan w:val="2"/>
          </w:tcPr>
          <w:p w14:paraId="224D399E"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R-07-132 Establishing Rules for Net Energy Metering, and R-09-484 Revising the NEM Rules;</w:t>
            </w:r>
            <w:r>
              <w:rPr>
                <w:rFonts w:ascii="Times New Roman" w:hAnsi="Times New Roman" w:cs="Times New Roman"/>
                <w:color w:val="000000" w:themeColor="text1"/>
                <w:sz w:val="24"/>
                <w:szCs w:val="24"/>
              </w:rPr>
              <w:br/>
              <w:t>R-18-223; R-19-111; (See also, Community Solar Rules, Section 7(F)(2))</w:t>
            </w:r>
            <w:r>
              <w:rPr>
                <w:rFonts w:ascii="Times New Roman" w:hAnsi="Times New Roman" w:cs="Times New Roman"/>
                <w:color w:val="000000" w:themeColor="text1"/>
                <w:sz w:val="24"/>
                <w:szCs w:val="24"/>
              </w:rPr>
              <w:br/>
              <w:t>R-21-153</w:t>
            </w:r>
          </w:p>
          <w:p w14:paraId="07A82CA8" w14:textId="77777777" w:rsidR="00754F37" w:rsidRDefault="00754F37" w:rsidP="00754F37">
            <w:pPr>
              <w:jc w:val="center"/>
              <w:rPr>
                <w:rFonts w:ascii="Times New Roman" w:hAnsi="Times New Roman" w:cs="Times New Roman"/>
                <w:strike/>
                <w:color w:val="000000" w:themeColor="text1"/>
                <w:sz w:val="24"/>
                <w:szCs w:val="24"/>
              </w:rPr>
            </w:pPr>
          </w:p>
        </w:tc>
        <w:tc>
          <w:tcPr>
            <w:tcW w:w="1454" w:type="pct"/>
          </w:tcPr>
          <w:p w14:paraId="59C5DCBB"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Consolidation of the Annual Net Metering Report, the annual Community Solar Implementation Plan Report, and any future distributed resource energy reports into one single distributed energy report.</w:t>
            </w:r>
          </w:p>
          <w:p w14:paraId="16B1D883" w14:textId="77777777" w:rsidR="00754F37" w:rsidRDefault="00754F37" w:rsidP="00754F37">
            <w:pPr>
              <w:jc w:val="both"/>
              <w:rPr>
                <w:rFonts w:ascii="Times New Roman" w:hAnsi="Times New Roman" w:cs="Times New Roman"/>
                <w:strike/>
                <w:color w:val="000000" w:themeColor="text1"/>
                <w:sz w:val="24"/>
                <w:szCs w:val="24"/>
              </w:rPr>
            </w:pPr>
          </w:p>
        </w:tc>
        <w:tc>
          <w:tcPr>
            <w:tcW w:w="1080" w:type="pct"/>
          </w:tcPr>
          <w:p w14:paraId="3FCBE69E" w14:textId="77777777" w:rsidR="00754F37" w:rsidRDefault="00754F37" w:rsidP="00754F37">
            <w:pPr>
              <w:jc w:val="center"/>
              <w:rPr>
                <w:rFonts w:ascii="Times New Roman" w:hAnsi="Times New Roman" w:cs="Times New Roman"/>
                <w:color w:val="C00000"/>
                <w:sz w:val="24"/>
                <w:szCs w:val="24"/>
              </w:rPr>
            </w:pPr>
            <w:r>
              <w:rPr>
                <w:rFonts w:ascii="Times New Roman" w:hAnsi="Times New Roman" w:cs="Times New Roman"/>
                <w:color w:val="C00000"/>
                <w:sz w:val="24"/>
                <w:szCs w:val="24"/>
              </w:rPr>
              <w:t>Maintain Reporting Requirement.</w:t>
            </w:r>
          </w:p>
        </w:tc>
      </w:tr>
      <w:tr w:rsidR="00754F37" w14:paraId="3D08730A" w14:textId="77777777">
        <w:tc>
          <w:tcPr>
            <w:tcW w:w="444" w:type="pct"/>
          </w:tcPr>
          <w:p w14:paraId="1BB828F1"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A24</w:t>
            </w:r>
          </w:p>
        </w:tc>
        <w:tc>
          <w:tcPr>
            <w:tcW w:w="807" w:type="pct"/>
          </w:tcPr>
          <w:p w14:paraId="03075A14"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Storm Escrow Report</w:t>
            </w:r>
          </w:p>
          <w:p w14:paraId="4C177167" w14:textId="77777777" w:rsidR="00754F37" w:rsidRDefault="00754F37" w:rsidP="00754F37">
            <w:pPr>
              <w:rPr>
                <w:rFonts w:ascii="Times New Roman" w:hAnsi="Times New Roman" w:cs="Times New Roman"/>
                <w:color w:val="000000" w:themeColor="text1"/>
                <w:sz w:val="24"/>
                <w:szCs w:val="24"/>
              </w:rPr>
            </w:pPr>
          </w:p>
          <w:p w14:paraId="3A6668D8" w14:textId="77777777" w:rsidR="00754F37" w:rsidRDefault="00754F37" w:rsidP="00754F37">
            <w:pPr>
              <w:rPr>
                <w:rFonts w:ascii="Times New Roman" w:hAnsi="Times New Roman" w:cs="Times New Roman"/>
                <w:color w:val="000000" w:themeColor="text1"/>
                <w:sz w:val="24"/>
                <w:szCs w:val="24"/>
              </w:rPr>
            </w:pPr>
          </w:p>
        </w:tc>
        <w:tc>
          <w:tcPr>
            <w:tcW w:w="495" w:type="pct"/>
          </w:tcPr>
          <w:p w14:paraId="05D0EA95" w14:textId="77777777" w:rsidR="00754F37" w:rsidRDefault="00754F37" w:rsidP="00754F37">
            <w:pPr>
              <w:jc w:val="center"/>
              <w:rPr>
                <w:rFonts w:ascii="Times New Roman" w:hAnsi="Times New Roman" w:cs="Times New Roman"/>
                <w:strike/>
                <w:color w:val="000000" w:themeColor="text1"/>
                <w:sz w:val="24"/>
                <w:szCs w:val="24"/>
              </w:rPr>
            </w:pPr>
          </w:p>
        </w:tc>
        <w:tc>
          <w:tcPr>
            <w:tcW w:w="720" w:type="pct"/>
            <w:gridSpan w:val="2"/>
          </w:tcPr>
          <w:p w14:paraId="3AC40DE0"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Resolutions</w:t>
            </w:r>
          </w:p>
          <w:p w14:paraId="0E55299D"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R-15-195, Ordering Paragraph 8; Resolution R-06-459, Ordering Paragraph 20-; Resolution R-22-438</w:t>
            </w:r>
          </w:p>
          <w:p w14:paraId="742A1A57"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Resolution R-21-153</w:t>
            </w:r>
          </w:p>
        </w:tc>
        <w:tc>
          <w:tcPr>
            <w:tcW w:w="1454" w:type="pct"/>
          </w:tcPr>
          <w:p w14:paraId="0E415F30"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ENO to annually report the collections, principal, interest, disbursements, and any aggregate amount of costs incurred during the year for restoration of service from ENO’s Securitized Storm Reserve Account and Storm Reserve Fund Escrow Account.</w:t>
            </w:r>
          </w:p>
        </w:tc>
        <w:tc>
          <w:tcPr>
            <w:tcW w:w="1080" w:type="pct"/>
          </w:tcPr>
          <w:p w14:paraId="7CED7758" w14:textId="77777777" w:rsidR="00754F37" w:rsidRDefault="00754F37" w:rsidP="00754F37">
            <w:pPr>
              <w:jc w:val="center"/>
              <w:rPr>
                <w:rFonts w:ascii="Times New Roman" w:hAnsi="Times New Roman" w:cs="Times New Roman"/>
                <w:color w:val="C00000"/>
                <w:sz w:val="24"/>
                <w:szCs w:val="24"/>
              </w:rPr>
            </w:pPr>
            <w:r>
              <w:rPr>
                <w:rFonts w:ascii="Times New Roman" w:hAnsi="Times New Roman" w:cs="Times New Roman"/>
                <w:color w:val="C0504D" w:themeColor="accent2"/>
                <w:sz w:val="24"/>
                <w:szCs w:val="24"/>
              </w:rPr>
              <w:t>Maintain Reporting Requirement</w:t>
            </w:r>
          </w:p>
        </w:tc>
      </w:tr>
      <w:tr w:rsidR="00754F37" w14:paraId="0D01859B" w14:textId="77777777">
        <w:tc>
          <w:tcPr>
            <w:tcW w:w="444" w:type="pct"/>
          </w:tcPr>
          <w:p w14:paraId="08321B15"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A25</w:t>
            </w:r>
          </w:p>
        </w:tc>
        <w:tc>
          <w:tcPr>
            <w:tcW w:w="807" w:type="pct"/>
          </w:tcPr>
          <w:p w14:paraId="05459CF2"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NOPS LDEQ Report - Semi-Annual Monitoring Report</w:t>
            </w:r>
          </w:p>
        </w:tc>
        <w:tc>
          <w:tcPr>
            <w:tcW w:w="495" w:type="pct"/>
          </w:tcPr>
          <w:p w14:paraId="5AA298C0"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2ACAD75E"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p w14:paraId="42B4EDEA"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Ordering Paragraph 4</w:t>
            </w:r>
          </w:p>
          <w:p w14:paraId="32180FC3"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(at p. 14)</w:t>
            </w:r>
          </w:p>
        </w:tc>
        <w:tc>
          <w:tcPr>
            <w:tcW w:w="1454" w:type="pct"/>
          </w:tcPr>
          <w:p w14:paraId="602178F0"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Due for submittal semi-annually by March 30th and September 30th and requires the reporting of any deviations that may have occurred from the Title V air permit for the semi-annual monitoring period and the corrective actions taken to prevent a re-occurrence</w:t>
            </w:r>
          </w:p>
          <w:p w14:paraId="7F298BDD" w14:textId="77777777" w:rsidR="00754F37" w:rsidRDefault="00754F37" w:rsidP="00754F37">
            <w:pPr>
              <w:jc w:val="both"/>
              <w:rPr>
                <w:rFonts w:ascii="Times New Roman" w:hAnsi="Times New Roman" w:cs="Times New Roman"/>
                <w:sz w:val="24"/>
                <w:szCs w:val="24"/>
              </w:rPr>
            </w:pPr>
          </w:p>
        </w:tc>
        <w:tc>
          <w:tcPr>
            <w:tcW w:w="1080" w:type="pct"/>
          </w:tcPr>
          <w:p w14:paraId="77E7A713"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color w:val="C0504D" w:themeColor="accent2"/>
                <w:sz w:val="24"/>
                <w:szCs w:val="24"/>
              </w:rPr>
              <w:t>Maintain Reporting Requirement</w:t>
            </w:r>
          </w:p>
        </w:tc>
      </w:tr>
      <w:tr w:rsidR="00754F37" w14:paraId="1A2FB2E1" w14:textId="77777777">
        <w:tc>
          <w:tcPr>
            <w:tcW w:w="444" w:type="pct"/>
          </w:tcPr>
          <w:p w14:paraId="0E6F4EF9"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A26</w:t>
            </w:r>
          </w:p>
        </w:tc>
        <w:tc>
          <w:tcPr>
            <w:tcW w:w="807" w:type="pct"/>
          </w:tcPr>
          <w:p w14:paraId="5F355AC1"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NOPS LDEQ Report - Title V Certification Report</w:t>
            </w:r>
          </w:p>
        </w:tc>
        <w:tc>
          <w:tcPr>
            <w:tcW w:w="495" w:type="pct"/>
          </w:tcPr>
          <w:p w14:paraId="1CE79613"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7B752952"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p w14:paraId="58BF277F"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Ordering Paragraph 4</w:t>
            </w:r>
          </w:p>
          <w:p w14:paraId="385B24F4"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(at p. 14)</w:t>
            </w:r>
          </w:p>
        </w:tc>
        <w:tc>
          <w:tcPr>
            <w:tcW w:w="1454" w:type="pct"/>
          </w:tcPr>
          <w:p w14:paraId="1BA57B1C"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Due annually by March 30th and requires reporting of any deviations from the Title V air permit for the previous calendar year and the corrective actions taken to prevent a re-occurrence</w:t>
            </w:r>
          </w:p>
          <w:p w14:paraId="3670AC2D" w14:textId="77777777" w:rsidR="00754F37" w:rsidRDefault="00754F37" w:rsidP="00754F37">
            <w:pPr>
              <w:jc w:val="both"/>
              <w:rPr>
                <w:rFonts w:ascii="Times New Roman" w:hAnsi="Times New Roman" w:cs="Times New Roman"/>
                <w:sz w:val="24"/>
                <w:szCs w:val="24"/>
              </w:rPr>
            </w:pPr>
          </w:p>
        </w:tc>
        <w:tc>
          <w:tcPr>
            <w:tcW w:w="1080" w:type="pct"/>
          </w:tcPr>
          <w:p w14:paraId="1B8A0D5F"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0E50C0B2" w14:textId="77777777">
        <w:tc>
          <w:tcPr>
            <w:tcW w:w="444" w:type="pct"/>
          </w:tcPr>
          <w:p w14:paraId="32EE3283"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A27</w:t>
            </w:r>
          </w:p>
        </w:tc>
        <w:tc>
          <w:tcPr>
            <w:tcW w:w="807" w:type="pct"/>
          </w:tcPr>
          <w:p w14:paraId="77149E15"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NOPS LDEQ Report - RICE Engine Annual Report</w:t>
            </w:r>
          </w:p>
        </w:tc>
        <w:tc>
          <w:tcPr>
            <w:tcW w:w="495" w:type="pct"/>
          </w:tcPr>
          <w:p w14:paraId="6D018B4E"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6F4A1CF4"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p w14:paraId="0945B2F5"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Ordering Paragraph 4</w:t>
            </w:r>
          </w:p>
          <w:p w14:paraId="51EF0D49"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(at p. 14)</w:t>
            </w:r>
          </w:p>
        </w:tc>
        <w:tc>
          <w:tcPr>
            <w:tcW w:w="1454" w:type="pct"/>
          </w:tcPr>
          <w:p w14:paraId="5ADD90C5"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Due annually by April 30th and requires reporting of the start-up/shut-down hours, heat input, operating hours and fuel consumption for the RICE engines (required per specific requirement 71 of the Title V permit)</w:t>
            </w:r>
          </w:p>
          <w:p w14:paraId="0107BAF3" w14:textId="77777777" w:rsidR="00754F37" w:rsidRDefault="00754F37" w:rsidP="00754F37">
            <w:pPr>
              <w:jc w:val="both"/>
              <w:rPr>
                <w:rFonts w:ascii="Times New Roman" w:hAnsi="Times New Roman" w:cs="Times New Roman"/>
                <w:sz w:val="24"/>
                <w:szCs w:val="24"/>
              </w:rPr>
            </w:pPr>
          </w:p>
        </w:tc>
        <w:tc>
          <w:tcPr>
            <w:tcW w:w="1080" w:type="pct"/>
          </w:tcPr>
          <w:p w14:paraId="209BA68A"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5F351966" w14:textId="77777777">
        <w:tc>
          <w:tcPr>
            <w:tcW w:w="444" w:type="pct"/>
          </w:tcPr>
          <w:p w14:paraId="4AFD335C"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A28</w:t>
            </w:r>
          </w:p>
        </w:tc>
        <w:tc>
          <w:tcPr>
            <w:tcW w:w="807" w:type="pct"/>
          </w:tcPr>
          <w:p w14:paraId="6EA82593"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NOPS LDEQ Report - Emergency Diesel Generator Operating Report</w:t>
            </w:r>
          </w:p>
        </w:tc>
        <w:tc>
          <w:tcPr>
            <w:tcW w:w="495" w:type="pct"/>
          </w:tcPr>
          <w:p w14:paraId="43B67622"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49DEC866"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p w14:paraId="02BAC6ED"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Ordering Paragraph 4</w:t>
            </w:r>
          </w:p>
          <w:p w14:paraId="526E2BB7"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(at p. 14)</w:t>
            </w:r>
          </w:p>
        </w:tc>
        <w:tc>
          <w:tcPr>
            <w:tcW w:w="1454" w:type="pct"/>
          </w:tcPr>
          <w:p w14:paraId="678FFF78"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Due annually by March 31st per specific requirement 34 of the Title V permit. Requires the reporting of any hours of operation of the NOPS Emergency Diesel Generator at the Michoud site for the specific purposes specified in 40 CFR 60.4214(d)</w:t>
            </w:r>
          </w:p>
          <w:p w14:paraId="1A489655" w14:textId="77777777" w:rsidR="00754F37" w:rsidRDefault="00754F37" w:rsidP="00754F37">
            <w:pPr>
              <w:jc w:val="both"/>
              <w:rPr>
                <w:rFonts w:ascii="Times New Roman" w:hAnsi="Times New Roman" w:cs="Times New Roman"/>
                <w:sz w:val="24"/>
                <w:szCs w:val="24"/>
              </w:rPr>
            </w:pPr>
          </w:p>
        </w:tc>
        <w:tc>
          <w:tcPr>
            <w:tcW w:w="1080" w:type="pct"/>
          </w:tcPr>
          <w:p w14:paraId="6DBBF864"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lastRenderedPageBreak/>
              <w:t>Maintain Reporting Requirement</w:t>
            </w:r>
          </w:p>
        </w:tc>
      </w:tr>
      <w:tr w:rsidR="00754F37" w14:paraId="2F503F63" w14:textId="77777777">
        <w:tc>
          <w:tcPr>
            <w:tcW w:w="444" w:type="pct"/>
          </w:tcPr>
          <w:p w14:paraId="131C4EAD"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A29</w:t>
            </w:r>
          </w:p>
        </w:tc>
        <w:tc>
          <w:tcPr>
            <w:tcW w:w="807" w:type="pct"/>
          </w:tcPr>
          <w:p w14:paraId="4002F68C"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NOPS LDEQ Report - Emissions Inventory</w:t>
            </w:r>
          </w:p>
        </w:tc>
        <w:tc>
          <w:tcPr>
            <w:tcW w:w="495" w:type="pct"/>
          </w:tcPr>
          <w:p w14:paraId="4CB93F70"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79C378B6"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p w14:paraId="5AFAD3D4"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Ordering Paragraph 4</w:t>
            </w:r>
          </w:p>
          <w:p w14:paraId="639D53A4"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(at p. 14)</w:t>
            </w:r>
          </w:p>
        </w:tc>
        <w:tc>
          <w:tcPr>
            <w:tcW w:w="1454" w:type="pct"/>
          </w:tcPr>
          <w:p w14:paraId="259E9C70"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Due annually by April 30th per specific requirement 100 of the Title V permit and requires the reporting of the total NOPS Criteria Pollutant Emissions for the previous calendar year.</w:t>
            </w:r>
          </w:p>
          <w:p w14:paraId="50E430B4" w14:textId="77777777" w:rsidR="00754F37" w:rsidRDefault="00754F37" w:rsidP="00754F37">
            <w:pPr>
              <w:jc w:val="both"/>
              <w:rPr>
                <w:rFonts w:ascii="Times New Roman" w:hAnsi="Times New Roman" w:cs="Times New Roman"/>
                <w:sz w:val="24"/>
                <w:szCs w:val="24"/>
              </w:rPr>
            </w:pPr>
          </w:p>
        </w:tc>
        <w:tc>
          <w:tcPr>
            <w:tcW w:w="1080" w:type="pct"/>
          </w:tcPr>
          <w:p w14:paraId="5D2D562F"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79B01F6D" w14:textId="77777777">
        <w:tc>
          <w:tcPr>
            <w:tcW w:w="444" w:type="pct"/>
          </w:tcPr>
          <w:p w14:paraId="349C8B89"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A30</w:t>
            </w:r>
          </w:p>
        </w:tc>
        <w:tc>
          <w:tcPr>
            <w:tcW w:w="807" w:type="pct"/>
          </w:tcPr>
          <w:p w14:paraId="74A1E70D"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NOPS LDEQ Report - Reports of Unauthorized Discharges of Pollutants</w:t>
            </w:r>
          </w:p>
        </w:tc>
        <w:tc>
          <w:tcPr>
            <w:tcW w:w="495" w:type="pct"/>
          </w:tcPr>
          <w:p w14:paraId="0229C73A"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17CCA5F5"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p w14:paraId="21077017"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Ordering Paragraph 4</w:t>
            </w:r>
          </w:p>
          <w:p w14:paraId="3563E2CB"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(at p. 14)</w:t>
            </w:r>
          </w:p>
        </w:tc>
        <w:tc>
          <w:tcPr>
            <w:tcW w:w="1454" w:type="pct"/>
          </w:tcPr>
          <w:p w14:paraId="540067AD"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Requires reporting of any unauthorized discharges of pollutants to the atmosphere in accordance with state regulations. If there are any unauthorized discharges of pollutants above the reportable quantity, reporting is required to the Louisiana State Police, LDEQ, and the Orleans Parish Local Emergency Planning Committee</w:t>
            </w:r>
          </w:p>
          <w:p w14:paraId="2E964133" w14:textId="77777777" w:rsidR="00754F37" w:rsidRDefault="00754F37" w:rsidP="00754F37">
            <w:pPr>
              <w:jc w:val="both"/>
              <w:rPr>
                <w:rFonts w:ascii="Times New Roman" w:hAnsi="Times New Roman" w:cs="Times New Roman"/>
                <w:sz w:val="24"/>
                <w:szCs w:val="24"/>
              </w:rPr>
            </w:pPr>
          </w:p>
        </w:tc>
        <w:tc>
          <w:tcPr>
            <w:tcW w:w="1080" w:type="pct"/>
          </w:tcPr>
          <w:p w14:paraId="555003D7"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4883A661" w14:textId="77777777">
        <w:tc>
          <w:tcPr>
            <w:tcW w:w="444" w:type="pct"/>
          </w:tcPr>
          <w:p w14:paraId="74B28E02"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A31</w:t>
            </w:r>
          </w:p>
        </w:tc>
        <w:tc>
          <w:tcPr>
            <w:tcW w:w="807" w:type="pct"/>
          </w:tcPr>
          <w:p w14:paraId="00FED4D9" w14:textId="77777777" w:rsidR="00754F37" w:rsidRDefault="00754F37" w:rsidP="00754F37">
            <w:pPr>
              <w:rPr>
                <w:rFonts w:ascii="Times New Roman" w:hAnsi="Times New Roman" w:cs="Times New Roman"/>
                <w:sz w:val="24"/>
                <w:szCs w:val="24"/>
              </w:rPr>
            </w:pPr>
            <w:r>
              <w:rPr>
                <w:rFonts w:ascii="Times New Roman" w:hAnsi="Times New Roman" w:cs="Times New Roman"/>
                <w:color w:val="000000" w:themeColor="text1"/>
                <w:sz w:val="24"/>
                <w:szCs w:val="24"/>
              </w:rPr>
              <w:t xml:space="preserve">Semi-annual NOPS </w:t>
            </w:r>
            <w:r>
              <w:rPr>
                <w:rFonts w:ascii="Times New Roman" w:hAnsi="Times New Roman" w:cs="Times New Roman"/>
                <w:sz w:val="24"/>
                <w:szCs w:val="24"/>
              </w:rPr>
              <w:t>O&amp;M Expenditures</w:t>
            </w:r>
          </w:p>
        </w:tc>
        <w:tc>
          <w:tcPr>
            <w:tcW w:w="495" w:type="pct"/>
          </w:tcPr>
          <w:p w14:paraId="4B382E85"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UD-16-02</w:t>
            </w:r>
          </w:p>
        </w:tc>
        <w:tc>
          <w:tcPr>
            <w:tcW w:w="720" w:type="pct"/>
            <w:gridSpan w:val="2"/>
          </w:tcPr>
          <w:p w14:paraId="455D8C2B"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tc>
        <w:tc>
          <w:tcPr>
            <w:tcW w:w="1454" w:type="pct"/>
          </w:tcPr>
          <w:p w14:paraId="30D7297C"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File with the Council a report detailing the NOPS O&amp;M expenditures for each quarter.</w:t>
            </w:r>
          </w:p>
          <w:p w14:paraId="495F480C" w14:textId="77777777" w:rsidR="00754F37" w:rsidRDefault="00754F37" w:rsidP="00754F37">
            <w:pPr>
              <w:jc w:val="both"/>
              <w:rPr>
                <w:rFonts w:ascii="Times New Roman" w:hAnsi="Times New Roman" w:cs="Times New Roman"/>
                <w:sz w:val="24"/>
                <w:szCs w:val="24"/>
              </w:rPr>
            </w:pPr>
          </w:p>
        </w:tc>
        <w:tc>
          <w:tcPr>
            <w:tcW w:w="1080" w:type="pct"/>
          </w:tcPr>
          <w:p w14:paraId="675BD191"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7888000A" w14:textId="77777777">
        <w:tc>
          <w:tcPr>
            <w:tcW w:w="444" w:type="pct"/>
          </w:tcPr>
          <w:p w14:paraId="7D92B6FE"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A32</w:t>
            </w:r>
          </w:p>
        </w:tc>
        <w:tc>
          <w:tcPr>
            <w:tcW w:w="807" w:type="pct"/>
          </w:tcPr>
          <w:p w14:paraId="008333BA"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Quarterly Reliability Report</w:t>
            </w:r>
          </w:p>
        </w:tc>
        <w:tc>
          <w:tcPr>
            <w:tcW w:w="495" w:type="pct"/>
          </w:tcPr>
          <w:p w14:paraId="44640704" w14:textId="77777777" w:rsidR="00754F37" w:rsidRDefault="00754F37" w:rsidP="00754F37">
            <w:pPr>
              <w:jc w:val="center"/>
              <w:rPr>
                <w:rFonts w:ascii="Times New Roman" w:hAnsi="Times New Roman" w:cs="Times New Roman"/>
                <w:color w:val="000000" w:themeColor="text1"/>
                <w:sz w:val="24"/>
                <w:szCs w:val="24"/>
              </w:rPr>
            </w:pPr>
          </w:p>
        </w:tc>
        <w:tc>
          <w:tcPr>
            <w:tcW w:w="720" w:type="pct"/>
            <w:gridSpan w:val="2"/>
          </w:tcPr>
          <w:p w14:paraId="4C6DF0E1"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R-17-427 (Ordering Paragraph 6)</w:t>
            </w:r>
          </w:p>
        </w:tc>
        <w:tc>
          <w:tcPr>
            <w:tcW w:w="1454" w:type="pct"/>
          </w:tcPr>
          <w:p w14:paraId="30BED788"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ENO is directed to file quarterly reports concerning ongoing outages and progress on execution of the annual reliability plan and updates on the vegetation-related SAIFI and SAIDI report.</w:t>
            </w:r>
          </w:p>
        </w:tc>
        <w:tc>
          <w:tcPr>
            <w:tcW w:w="1080" w:type="pct"/>
          </w:tcPr>
          <w:p w14:paraId="245F568C"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05860426" w14:textId="77777777">
        <w:tc>
          <w:tcPr>
            <w:tcW w:w="444" w:type="pct"/>
          </w:tcPr>
          <w:p w14:paraId="14766EE8"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A33</w:t>
            </w:r>
          </w:p>
        </w:tc>
        <w:tc>
          <w:tcPr>
            <w:tcW w:w="807" w:type="pct"/>
          </w:tcPr>
          <w:p w14:paraId="1E8963B8" w14:textId="77777777" w:rsidR="00754F37" w:rsidRDefault="00754F37" w:rsidP="00754F37">
            <w:pPr>
              <w:rPr>
                <w:rFonts w:ascii="Times New Roman" w:hAnsi="Times New Roman" w:cs="Times New Roman"/>
                <w:color w:val="1F497D" w:themeColor="text2"/>
                <w:sz w:val="24"/>
                <w:szCs w:val="24"/>
              </w:rPr>
            </w:pPr>
            <w:r>
              <w:rPr>
                <w:rFonts w:ascii="Times New Roman" w:hAnsi="Times New Roman" w:cs="Times New Roman"/>
                <w:sz w:val="24"/>
                <w:szCs w:val="24"/>
              </w:rPr>
              <w:t>City of New Orleans’ Reports on Outside Services</w:t>
            </w:r>
          </w:p>
        </w:tc>
        <w:tc>
          <w:tcPr>
            <w:tcW w:w="495" w:type="pct"/>
          </w:tcPr>
          <w:p w14:paraId="17C34E7B" w14:textId="77777777" w:rsidR="00754F37" w:rsidRDefault="00754F37" w:rsidP="00754F37">
            <w:pPr>
              <w:jc w:val="center"/>
              <w:rPr>
                <w:rFonts w:ascii="Times New Roman" w:hAnsi="Times New Roman" w:cs="Times New Roman"/>
                <w:sz w:val="24"/>
                <w:szCs w:val="24"/>
              </w:rPr>
            </w:pPr>
          </w:p>
        </w:tc>
        <w:tc>
          <w:tcPr>
            <w:tcW w:w="720" w:type="pct"/>
            <w:gridSpan w:val="2"/>
          </w:tcPr>
          <w:p w14:paraId="3AA686D9" w14:textId="77777777" w:rsidR="00754F37" w:rsidRDefault="00754F37" w:rsidP="00754F37">
            <w:pPr>
              <w:jc w:val="center"/>
              <w:rPr>
                <w:rFonts w:ascii="Times New Roman" w:hAnsi="Times New Roman" w:cs="Times New Roman"/>
                <w:color w:val="1F497D" w:themeColor="text2"/>
                <w:sz w:val="24"/>
                <w:szCs w:val="24"/>
              </w:rPr>
            </w:pPr>
            <w:r>
              <w:rPr>
                <w:rFonts w:ascii="Times New Roman" w:hAnsi="Times New Roman" w:cs="Times New Roman"/>
                <w:sz w:val="24"/>
                <w:szCs w:val="24"/>
              </w:rPr>
              <w:t xml:space="preserve">City Attorney’s Request – Mr. Naccari’s </w:t>
            </w:r>
            <w:r>
              <w:rPr>
                <w:rFonts w:ascii="Times New Roman" w:hAnsi="Times New Roman" w:cs="Times New Roman"/>
                <w:sz w:val="24"/>
                <w:szCs w:val="24"/>
              </w:rPr>
              <w:lastRenderedPageBreak/>
              <w:t>February 14, 1991 Letter</w:t>
            </w:r>
          </w:p>
        </w:tc>
        <w:tc>
          <w:tcPr>
            <w:tcW w:w="1454" w:type="pct"/>
          </w:tcPr>
          <w:p w14:paraId="218FF538" w14:textId="77777777" w:rsidR="00754F37" w:rsidRDefault="00754F37" w:rsidP="00754F37">
            <w:pPr>
              <w:jc w:val="both"/>
              <w:rPr>
                <w:rFonts w:ascii="Times New Roman" w:hAnsi="Times New Roman" w:cs="Times New Roman"/>
                <w:color w:val="1F497D" w:themeColor="text2"/>
                <w:sz w:val="24"/>
                <w:szCs w:val="24"/>
              </w:rPr>
            </w:pPr>
            <w:r>
              <w:rPr>
                <w:rFonts w:ascii="Times New Roman" w:hAnsi="Times New Roman" w:cs="Times New Roman"/>
                <w:sz w:val="24"/>
                <w:szCs w:val="24"/>
              </w:rPr>
              <w:lastRenderedPageBreak/>
              <w:t>ENO to file Quarterly informational filings regarding ENO’s expenditures on outside attorneys/consultants.</w:t>
            </w:r>
          </w:p>
        </w:tc>
        <w:tc>
          <w:tcPr>
            <w:tcW w:w="1080" w:type="pct"/>
          </w:tcPr>
          <w:p w14:paraId="2ABF3CA3"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0C13D048" w14:textId="77777777">
        <w:tc>
          <w:tcPr>
            <w:tcW w:w="444" w:type="pct"/>
          </w:tcPr>
          <w:p w14:paraId="0159CB7F" w14:textId="4DCF2C7D" w:rsidR="00754F37" w:rsidRDefault="00754F37" w:rsidP="0076757E">
            <w:pPr>
              <w:rPr>
                <w:rFonts w:ascii="Times New Roman" w:hAnsi="Times New Roman" w:cs="Times New Roman"/>
                <w:b/>
                <w:sz w:val="24"/>
                <w:szCs w:val="24"/>
              </w:rPr>
            </w:pPr>
            <w:r>
              <w:rPr>
                <w:rFonts w:ascii="Times New Roman" w:hAnsi="Times New Roman" w:cs="Times New Roman"/>
                <w:b/>
                <w:sz w:val="24"/>
                <w:szCs w:val="24"/>
              </w:rPr>
              <w:t>A34</w:t>
            </w:r>
          </w:p>
        </w:tc>
        <w:tc>
          <w:tcPr>
            <w:tcW w:w="807" w:type="pct"/>
          </w:tcPr>
          <w:p w14:paraId="6CE0889F"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Gas Storage Report</w:t>
            </w:r>
          </w:p>
          <w:p w14:paraId="7CE63285" w14:textId="77777777" w:rsidR="00754F37" w:rsidRDefault="00754F37" w:rsidP="00754F37">
            <w:pPr>
              <w:rPr>
                <w:rFonts w:ascii="Times New Roman" w:hAnsi="Times New Roman" w:cs="Times New Roman"/>
                <w:color w:val="000000" w:themeColor="text1"/>
                <w:sz w:val="24"/>
                <w:szCs w:val="24"/>
              </w:rPr>
            </w:pPr>
          </w:p>
        </w:tc>
        <w:tc>
          <w:tcPr>
            <w:tcW w:w="495" w:type="pct"/>
          </w:tcPr>
          <w:p w14:paraId="262D2050" w14:textId="77777777" w:rsidR="00754F37" w:rsidRDefault="00754F37" w:rsidP="00754F37">
            <w:pPr>
              <w:jc w:val="center"/>
              <w:rPr>
                <w:rFonts w:ascii="Times New Roman" w:hAnsi="Times New Roman" w:cs="Times New Roman"/>
                <w:color w:val="000000" w:themeColor="text1"/>
                <w:sz w:val="24"/>
                <w:szCs w:val="24"/>
              </w:rPr>
            </w:pPr>
          </w:p>
        </w:tc>
        <w:tc>
          <w:tcPr>
            <w:tcW w:w="720" w:type="pct"/>
            <w:gridSpan w:val="2"/>
          </w:tcPr>
          <w:p w14:paraId="2C3D6A9D"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R-91-102; R-05-518 (Agreement in Principle, Ordering Paragraph 12) R-06-401; R-21-153</w:t>
            </w:r>
          </w:p>
          <w:p w14:paraId="4B2FE2CD" w14:textId="77777777" w:rsidR="00754F37" w:rsidRDefault="00754F37" w:rsidP="00754F37">
            <w:pPr>
              <w:jc w:val="center"/>
              <w:rPr>
                <w:rFonts w:ascii="Times New Roman" w:hAnsi="Times New Roman" w:cs="Times New Roman"/>
                <w:color w:val="000000" w:themeColor="text1"/>
                <w:sz w:val="24"/>
                <w:szCs w:val="24"/>
              </w:rPr>
            </w:pPr>
          </w:p>
        </w:tc>
        <w:tc>
          <w:tcPr>
            <w:tcW w:w="1454" w:type="pct"/>
          </w:tcPr>
          <w:p w14:paraId="071C9D2E"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ENO shall assess the cost and benefits of the Natural Storage Program at the end of each withdrawal season.</w:t>
            </w:r>
          </w:p>
          <w:p w14:paraId="6FC6A4DB" w14:textId="77777777" w:rsidR="00754F37" w:rsidRDefault="00754F37" w:rsidP="00754F37">
            <w:pPr>
              <w:jc w:val="both"/>
              <w:rPr>
                <w:rFonts w:ascii="Times New Roman" w:hAnsi="Times New Roman" w:cs="Times New Roman"/>
                <w:color w:val="000000" w:themeColor="text1"/>
                <w:sz w:val="24"/>
                <w:szCs w:val="24"/>
              </w:rPr>
            </w:pPr>
          </w:p>
        </w:tc>
        <w:tc>
          <w:tcPr>
            <w:tcW w:w="1080" w:type="pct"/>
          </w:tcPr>
          <w:p w14:paraId="32AF59C6"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61A230B3" w14:textId="77777777">
        <w:tc>
          <w:tcPr>
            <w:tcW w:w="444" w:type="pct"/>
          </w:tcPr>
          <w:p w14:paraId="6F2A1B57"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A35</w:t>
            </w:r>
          </w:p>
        </w:tc>
        <w:tc>
          <w:tcPr>
            <w:tcW w:w="807" w:type="pct"/>
          </w:tcPr>
          <w:p w14:paraId="3D67D9DB"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Quarterly NOPS Usage Reports</w:t>
            </w:r>
          </w:p>
        </w:tc>
        <w:tc>
          <w:tcPr>
            <w:tcW w:w="495" w:type="pct"/>
          </w:tcPr>
          <w:p w14:paraId="541D8D22"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UD-16-02</w:t>
            </w:r>
          </w:p>
        </w:tc>
        <w:tc>
          <w:tcPr>
            <w:tcW w:w="720" w:type="pct"/>
            <w:gridSpan w:val="2"/>
          </w:tcPr>
          <w:p w14:paraId="0CBC44BF"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R-19-78</w:t>
            </w:r>
          </w:p>
        </w:tc>
        <w:tc>
          <w:tcPr>
            <w:tcW w:w="1454" w:type="pct"/>
          </w:tcPr>
          <w:p w14:paraId="2DA5FC60"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ENO shall report NOPS usage as quarterly aggregated public reports within 30 days after the end of each quarter due to sensitive nature of reporting real-time usage information; however, the Council requires ENO to continue to provide detailed HSPM operational information to the Advisors quarterly. </w:t>
            </w:r>
          </w:p>
        </w:tc>
        <w:tc>
          <w:tcPr>
            <w:tcW w:w="1080" w:type="pct"/>
          </w:tcPr>
          <w:p w14:paraId="53CFB010"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72D5880D" w14:textId="77777777">
        <w:tc>
          <w:tcPr>
            <w:tcW w:w="444" w:type="pct"/>
          </w:tcPr>
          <w:p w14:paraId="26332988"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A36</w:t>
            </w:r>
          </w:p>
        </w:tc>
        <w:tc>
          <w:tcPr>
            <w:tcW w:w="807" w:type="pct"/>
          </w:tcPr>
          <w:p w14:paraId="13CD0C78" w14:textId="77777777" w:rsidR="00754F37" w:rsidRDefault="00754F37" w:rsidP="00754F37">
            <w:pPr>
              <w:rPr>
                <w:rFonts w:ascii="Times New Roman" w:hAnsi="Times New Roman" w:cs="Times New Roman"/>
                <w:color w:val="1F497D" w:themeColor="text2"/>
                <w:sz w:val="24"/>
                <w:szCs w:val="24"/>
              </w:rPr>
            </w:pPr>
            <w:r>
              <w:rPr>
                <w:rFonts w:ascii="Times New Roman" w:hAnsi="Times New Roman" w:cs="Times New Roman"/>
                <w:sz w:val="24"/>
                <w:szCs w:val="24"/>
              </w:rPr>
              <w:t>Semi-Annual Energy Smart Reports</w:t>
            </w:r>
          </w:p>
        </w:tc>
        <w:tc>
          <w:tcPr>
            <w:tcW w:w="495" w:type="pct"/>
          </w:tcPr>
          <w:p w14:paraId="3C6404B3"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UD-17-03</w:t>
            </w:r>
          </w:p>
          <w:p w14:paraId="64152E34"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UD-08-02</w:t>
            </w:r>
          </w:p>
        </w:tc>
        <w:tc>
          <w:tcPr>
            <w:tcW w:w="720" w:type="pct"/>
            <w:gridSpan w:val="2"/>
          </w:tcPr>
          <w:p w14:paraId="1B9A5F4E"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R-11-52;</w:t>
            </w:r>
          </w:p>
          <w:p w14:paraId="0C46E1B8"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R-15-15;</w:t>
            </w:r>
          </w:p>
          <w:p w14:paraId="164E1408"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R-15-140;</w:t>
            </w:r>
          </w:p>
          <w:p w14:paraId="4C63359F" w14:textId="77777777" w:rsidR="00754F37" w:rsidRDefault="00754F37" w:rsidP="00754F37">
            <w:pPr>
              <w:jc w:val="center"/>
              <w:rPr>
                <w:rFonts w:ascii="Times New Roman" w:hAnsi="Times New Roman" w:cs="Times New Roman"/>
                <w:color w:val="1F497D" w:themeColor="text2"/>
                <w:sz w:val="24"/>
                <w:szCs w:val="24"/>
              </w:rPr>
            </w:pPr>
            <w:r>
              <w:rPr>
                <w:rFonts w:ascii="Times New Roman" w:hAnsi="Times New Roman" w:cs="Times New Roman"/>
                <w:sz w:val="24"/>
                <w:szCs w:val="24"/>
              </w:rPr>
              <w:t>R-15-599</w:t>
            </w:r>
          </w:p>
        </w:tc>
        <w:tc>
          <w:tcPr>
            <w:tcW w:w="1454" w:type="pct"/>
          </w:tcPr>
          <w:p w14:paraId="150CEFE1" w14:textId="77777777" w:rsidR="00754F37" w:rsidRDefault="00754F37" w:rsidP="00754F3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ENO shall file the Energy Smart Reports semi-annually (every 6 months) instead of quarterly. The Energy Smart Reports currently tracks the progress of the kWh savings and spending by program. In addition to the progress of the kWh and kW savings and spending for each EE and DR program, the Energy Smart semi-annual reports must continue to provide documentation showing funding and expenditures, funds carryover, and the balance of Energy Smart's funding account. If </w:t>
            </w:r>
            <w:r>
              <w:rPr>
                <w:rFonts w:ascii="Times New Roman" w:hAnsi="Times New Roman" w:cs="Times New Roman"/>
                <w:color w:val="000000"/>
                <w:sz w:val="24"/>
                <w:szCs w:val="24"/>
              </w:rPr>
              <w:lastRenderedPageBreak/>
              <w:t>any individual program has difficulty reaching the savings target, ENO should promptly notify CURO and the Council within one week of identifying the potential deficiency in reaching the savings target.</w:t>
            </w:r>
          </w:p>
          <w:p w14:paraId="2C5B396C" w14:textId="77777777" w:rsidR="00754F37" w:rsidRDefault="00754F37" w:rsidP="00754F37">
            <w:pPr>
              <w:jc w:val="both"/>
              <w:rPr>
                <w:rFonts w:ascii="Times New Roman" w:hAnsi="Times New Roman" w:cs="Times New Roman"/>
                <w:color w:val="1F497D" w:themeColor="text2"/>
                <w:sz w:val="24"/>
                <w:szCs w:val="24"/>
              </w:rPr>
            </w:pPr>
          </w:p>
        </w:tc>
        <w:tc>
          <w:tcPr>
            <w:tcW w:w="1080" w:type="pct"/>
          </w:tcPr>
          <w:p w14:paraId="42B69DEE" w14:textId="77777777" w:rsidR="00754F37" w:rsidRDefault="00754F37"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lastRenderedPageBreak/>
              <w:t>Maintain Reporting Requirement</w:t>
            </w:r>
          </w:p>
        </w:tc>
      </w:tr>
      <w:tr w:rsidR="00754F37" w14:paraId="27DEDF83" w14:textId="77777777">
        <w:tc>
          <w:tcPr>
            <w:tcW w:w="444" w:type="pct"/>
          </w:tcPr>
          <w:p w14:paraId="04D15DB4" w14:textId="4AD4CBE2"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A37</w:t>
            </w:r>
          </w:p>
        </w:tc>
        <w:tc>
          <w:tcPr>
            <w:tcW w:w="807" w:type="pct"/>
          </w:tcPr>
          <w:p w14:paraId="6F0462FB" w14:textId="0BFB44BB" w:rsidR="00754F37" w:rsidRDefault="00D55746" w:rsidP="00754F37">
            <w:pPr>
              <w:rPr>
                <w:rFonts w:ascii="Times New Roman" w:hAnsi="Times New Roman" w:cs="Times New Roman"/>
                <w:sz w:val="24"/>
                <w:szCs w:val="24"/>
              </w:rPr>
            </w:pPr>
            <w:r>
              <w:rPr>
                <w:rFonts w:ascii="Times New Roman" w:hAnsi="Times New Roman" w:cs="Times New Roman"/>
                <w:sz w:val="24"/>
                <w:szCs w:val="24"/>
              </w:rPr>
              <w:t>Monthly Fuel Adjustment Clause Filing</w:t>
            </w:r>
          </w:p>
        </w:tc>
        <w:tc>
          <w:tcPr>
            <w:tcW w:w="495" w:type="pct"/>
          </w:tcPr>
          <w:p w14:paraId="165637EA" w14:textId="77777777" w:rsidR="00754F37" w:rsidRDefault="00754F37" w:rsidP="00754F37">
            <w:pPr>
              <w:jc w:val="center"/>
              <w:rPr>
                <w:rFonts w:ascii="Times New Roman" w:hAnsi="Times New Roman" w:cs="Times New Roman"/>
                <w:sz w:val="24"/>
                <w:szCs w:val="24"/>
              </w:rPr>
            </w:pPr>
          </w:p>
        </w:tc>
        <w:tc>
          <w:tcPr>
            <w:tcW w:w="720" w:type="pct"/>
            <w:gridSpan w:val="2"/>
          </w:tcPr>
          <w:p w14:paraId="04ABC1E3" w14:textId="00D74AD8" w:rsidR="00754F37" w:rsidRDefault="00D55746" w:rsidP="00CD56D1">
            <w:pPr>
              <w:rPr>
                <w:rFonts w:ascii="Times New Roman" w:hAnsi="Times New Roman" w:cs="Times New Roman"/>
                <w:sz w:val="24"/>
                <w:szCs w:val="24"/>
              </w:rPr>
            </w:pPr>
            <w:r w:rsidRPr="00D55746">
              <w:rPr>
                <w:rFonts w:ascii="Times New Roman" w:hAnsi="Times New Roman" w:cs="Times New Roman"/>
                <w:sz w:val="24"/>
                <w:szCs w:val="24"/>
              </w:rPr>
              <w:t>R</w:t>
            </w:r>
            <w:r>
              <w:rPr>
                <w:rFonts w:ascii="Times New Roman" w:hAnsi="Times New Roman" w:cs="Times New Roman"/>
                <w:sz w:val="24"/>
                <w:szCs w:val="24"/>
              </w:rPr>
              <w:t>ider</w:t>
            </w:r>
            <w:r w:rsidRPr="00D55746">
              <w:rPr>
                <w:rFonts w:ascii="Times New Roman" w:hAnsi="Times New Roman" w:cs="Times New Roman"/>
                <w:sz w:val="24"/>
                <w:szCs w:val="24"/>
              </w:rPr>
              <w:t xml:space="preserve"> S</w:t>
            </w:r>
            <w:r>
              <w:rPr>
                <w:rFonts w:ascii="Times New Roman" w:hAnsi="Times New Roman" w:cs="Times New Roman"/>
                <w:sz w:val="24"/>
                <w:szCs w:val="24"/>
              </w:rPr>
              <w:t xml:space="preserve">chedule </w:t>
            </w:r>
            <w:r w:rsidRPr="00D55746">
              <w:rPr>
                <w:rFonts w:ascii="Times New Roman" w:hAnsi="Times New Roman" w:cs="Times New Roman"/>
                <w:sz w:val="24"/>
                <w:szCs w:val="24"/>
              </w:rPr>
              <w:t>FAC</w:t>
            </w:r>
          </w:p>
        </w:tc>
        <w:tc>
          <w:tcPr>
            <w:tcW w:w="1454" w:type="pct"/>
          </w:tcPr>
          <w:p w14:paraId="22833E6A" w14:textId="77777777" w:rsidR="00D55746" w:rsidRPr="00D55746" w:rsidRDefault="00D55746" w:rsidP="00D55746">
            <w:pPr>
              <w:jc w:val="both"/>
              <w:rPr>
                <w:rFonts w:ascii="Times New Roman" w:hAnsi="Times New Roman" w:cs="Times New Roman"/>
                <w:color w:val="000000"/>
                <w:sz w:val="24"/>
                <w:szCs w:val="24"/>
              </w:rPr>
            </w:pPr>
            <w:r w:rsidRPr="00D55746">
              <w:rPr>
                <w:rFonts w:ascii="Times New Roman" w:hAnsi="Times New Roman" w:cs="Times New Roman"/>
                <w:color w:val="000000"/>
                <w:sz w:val="24"/>
                <w:szCs w:val="24"/>
              </w:rPr>
              <w:t>The monthly Fuel Adjustment Clause Filing shall include the</w:t>
            </w:r>
          </w:p>
          <w:p w14:paraId="76EE1164" w14:textId="26B412BD" w:rsidR="00D55746" w:rsidRPr="00D55746" w:rsidRDefault="00D55746" w:rsidP="00D55746">
            <w:pPr>
              <w:jc w:val="both"/>
              <w:rPr>
                <w:rFonts w:ascii="Times New Roman" w:hAnsi="Times New Roman" w:cs="Times New Roman"/>
                <w:color w:val="000000"/>
                <w:sz w:val="24"/>
                <w:szCs w:val="24"/>
              </w:rPr>
            </w:pPr>
            <w:r w:rsidRPr="00D55746">
              <w:rPr>
                <w:rFonts w:ascii="Times New Roman" w:hAnsi="Times New Roman" w:cs="Times New Roman"/>
                <w:color w:val="000000"/>
                <w:sz w:val="24"/>
                <w:szCs w:val="24"/>
              </w:rPr>
              <w:t>monthly Fuel Adjustment Clause Rates as determined by application of the formula set out in Rider FAC. Each Fuel Adjustment Clause Filing shall be filed with the Council</w:t>
            </w:r>
          </w:p>
          <w:p w14:paraId="261E20C4" w14:textId="77777777" w:rsidR="00D55746" w:rsidRPr="00D55746" w:rsidRDefault="00D55746" w:rsidP="00D55746">
            <w:pPr>
              <w:jc w:val="both"/>
              <w:rPr>
                <w:rFonts w:ascii="Times New Roman" w:hAnsi="Times New Roman" w:cs="Times New Roman"/>
                <w:color w:val="000000"/>
                <w:sz w:val="24"/>
                <w:szCs w:val="24"/>
              </w:rPr>
            </w:pPr>
            <w:r w:rsidRPr="00D55746">
              <w:rPr>
                <w:rFonts w:ascii="Times New Roman" w:hAnsi="Times New Roman" w:cs="Times New Roman"/>
                <w:color w:val="000000"/>
                <w:sz w:val="24"/>
                <w:szCs w:val="24"/>
              </w:rPr>
              <w:t>and shall be accompanied by a set of workpapers sufficient to document fully the calculations of</w:t>
            </w:r>
          </w:p>
          <w:p w14:paraId="4C39C594" w14:textId="6CDBC75B" w:rsidR="00754F37" w:rsidRDefault="00D55746" w:rsidP="00D55746">
            <w:pPr>
              <w:jc w:val="both"/>
              <w:rPr>
                <w:rFonts w:ascii="Times New Roman" w:hAnsi="Times New Roman" w:cs="Times New Roman"/>
                <w:color w:val="000000"/>
                <w:sz w:val="24"/>
                <w:szCs w:val="24"/>
              </w:rPr>
            </w:pPr>
            <w:r w:rsidRPr="00D55746">
              <w:rPr>
                <w:rFonts w:ascii="Times New Roman" w:hAnsi="Times New Roman" w:cs="Times New Roman"/>
                <w:color w:val="000000"/>
                <w:sz w:val="24"/>
                <w:szCs w:val="24"/>
              </w:rPr>
              <w:t>the redetermined Fuel Adjustment Clause Rates.</w:t>
            </w:r>
          </w:p>
        </w:tc>
        <w:tc>
          <w:tcPr>
            <w:tcW w:w="1080" w:type="pct"/>
          </w:tcPr>
          <w:p w14:paraId="5F5DADBC" w14:textId="04FECA58" w:rsidR="00754F37" w:rsidRDefault="00D55746" w:rsidP="00754F37">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Maintain Reporting Requirement</w:t>
            </w:r>
          </w:p>
        </w:tc>
      </w:tr>
      <w:tr w:rsidR="00754F37" w14:paraId="6FF1F0FE" w14:textId="77777777">
        <w:trPr>
          <w:trHeight w:val="562"/>
        </w:trPr>
        <w:tc>
          <w:tcPr>
            <w:tcW w:w="5000" w:type="pct"/>
            <w:gridSpan w:val="7"/>
          </w:tcPr>
          <w:p w14:paraId="2C3172BE" w14:textId="77777777" w:rsidR="00754F37" w:rsidRDefault="00754F37" w:rsidP="00754F37">
            <w:pPr>
              <w:jc w:val="both"/>
              <w:rPr>
                <w:rFonts w:ascii="Times New Roman" w:hAnsi="Times New Roman" w:cs="Times New Roman"/>
                <w:b/>
                <w:sz w:val="24"/>
                <w:szCs w:val="24"/>
              </w:rPr>
            </w:pPr>
            <w:r>
              <w:rPr>
                <w:rFonts w:ascii="Times New Roman" w:hAnsi="Times New Roman" w:cs="Times New Roman"/>
                <w:b/>
                <w:sz w:val="24"/>
                <w:szCs w:val="24"/>
              </w:rPr>
              <w:tab/>
            </w:r>
          </w:p>
          <w:p w14:paraId="000BA7D0" w14:textId="77777777" w:rsidR="00754F37" w:rsidRDefault="00754F37" w:rsidP="00754F37">
            <w:pPr>
              <w:jc w:val="both"/>
              <w:rPr>
                <w:rFonts w:ascii="Times New Roman" w:hAnsi="Times New Roman" w:cs="Times New Roman"/>
                <w:b/>
                <w:sz w:val="24"/>
                <w:szCs w:val="24"/>
              </w:rPr>
            </w:pPr>
          </w:p>
          <w:p w14:paraId="5A31804C" w14:textId="77777777" w:rsidR="00754F37" w:rsidRDefault="00754F37" w:rsidP="00754F37">
            <w:pPr>
              <w:jc w:val="both"/>
              <w:rPr>
                <w:rFonts w:ascii="Times New Roman" w:hAnsi="Times New Roman" w:cs="Times New Roman"/>
                <w:b/>
                <w:sz w:val="24"/>
                <w:szCs w:val="24"/>
              </w:rPr>
            </w:pPr>
          </w:p>
          <w:p w14:paraId="3813C41F" w14:textId="77777777" w:rsidR="00754F37" w:rsidRDefault="00754F37" w:rsidP="00754F37">
            <w:pPr>
              <w:jc w:val="both"/>
              <w:rPr>
                <w:rFonts w:ascii="Times New Roman" w:hAnsi="Times New Roman" w:cs="Times New Roman"/>
                <w:b/>
                <w:sz w:val="24"/>
                <w:szCs w:val="24"/>
              </w:rPr>
            </w:pPr>
          </w:p>
          <w:p w14:paraId="69579893" w14:textId="77777777" w:rsidR="00754F37" w:rsidRDefault="00754F37" w:rsidP="00754F37">
            <w:pPr>
              <w:jc w:val="center"/>
              <w:rPr>
                <w:rFonts w:ascii="Times New Roman" w:hAnsi="Times New Roman" w:cs="Times New Roman"/>
                <w:b/>
                <w:sz w:val="24"/>
                <w:szCs w:val="24"/>
                <w:u w:val="single"/>
              </w:rPr>
            </w:pPr>
            <w:r>
              <w:rPr>
                <w:rFonts w:ascii="Times New Roman" w:hAnsi="Times New Roman" w:cs="Times New Roman"/>
                <w:b/>
                <w:sz w:val="24"/>
                <w:szCs w:val="24"/>
                <w:u w:val="single"/>
              </w:rPr>
              <w:t>SECTION B: MODIFIED AND NEW REPORTING REQUIREMENTS</w:t>
            </w:r>
          </w:p>
          <w:p w14:paraId="60852BE6" w14:textId="77777777" w:rsidR="00754F37" w:rsidRDefault="00754F37" w:rsidP="00754F37">
            <w:pPr>
              <w:jc w:val="both"/>
              <w:rPr>
                <w:rFonts w:ascii="Times New Roman" w:hAnsi="Times New Roman" w:cs="Times New Roman"/>
                <w:b/>
                <w:sz w:val="24"/>
                <w:szCs w:val="24"/>
              </w:rPr>
            </w:pPr>
          </w:p>
        </w:tc>
      </w:tr>
      <w:tr w:rsidR="00754F37" w14:paraId="7C2DA1DB" w14:textId="77777777">
        <w:tc>
          <w:tcPr>
            <w:tcW w:w="444" w:type="pct"/>
          </w:tcPr>
          <w:p w14:paraId="2FB72354"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B1</w:t>
            </w:r>
          </w:p>
        </w:tc>
        <w:tc>
          <w:tcPr>
            <w:tcW w:w="807" w:type="pct"/>
          </w:tcPr>
          <w:p w14:paraId="1FD32C74"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Streamlining Report</w:t>
            </w:r>
          </w:p>
          <w:p w14:paraId="035D16F1" w14:textId="77777777" w:rsidR="00754F37" w:rsidRDefault="00754F37" w:rsidP="00754F37">
            <w:pPr>
              <w:rPr>
                <w:rFonts w:ascii="Times New Roman" w:hAnsi="Times New Roman" w:cs="Times New Roman"/>
                <w:color w:val="000000" w:themeColor="text1"/>
                <w:sz w:val="24"/>
                <w:szCs w:val="24"/>
              </w:rPr>
            </w:pPr>
          </w:p>
        </w:tc>
        <w:tc>
          <w:tcPr>
            <w:tcW w:w="598" w:type="pct"/>
            <w:gridSpan w:val="2"/>
          </w:tcPr>
          <w:p w14:paraId="2545C2E4" w14:textId="77777777" w:rsidR="00754F37" w:rsidRDefault="00754F37" w:rsidP="00754F37">
            <w:pPr>
              <w:jc w:val="center"/>
              <w:rPr>
                <w:rFonts w:ascii="Times New Roman" w:hAnsi="Times New Roman" w:cs="Times New Roman"/>
                <w:color w:val="000000" w:themeColor="text1"/>
                <w:sz w:val="24"/>
                <w:szCs w:val="24"/>
              </w:rPr>
            </w:pPr>
          </w:p>
        </w:tc>
        <w:tc>
          <w:tcPr>
            <w:tcW w:w="617" w:type="pct"/>
          </w:tcPr>
          <w:p w14:paraId="0052662B"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R-21-153</w:t>
            </w:r>
          </w:p>
        </w:tc>
        <w:tc>
          <w:tcPr>
            <w:tcW w:w="1454" w:type="pct"/>
          </w:tcPr>
          <w:p w14:paraId="74264214"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ENO shall provide an updated list of all reporting requirements to CURO each year no later than December 30th beginning in 2022.</w:t>
            </w:r>
          </w:p>
          <w:p w14:paraId="7AC1FDE3" w14:textId="77777777" w:rsidR="00754F37" w:rsidRDefault="00754F37" w:rsidP="00754F37">
            <w:pPr>
              <w:jc w:val="both"/>
              <w:rPr>
                <w:rFonts w:ascii="Times New Roman" w:hAnsi="Times New Roman" w:cs="Times New Roman"/>
                <w:color w:val="000000" w:themeColor="text1"/>
                <w:sz w:val="24"/>
                <w:szCs w:val="24"/>
              </w:rPr>
            </w:pPr>
          </w:p>
        </w:tc>
        <w:tc>
          <w:tcPr>
            <w:tcW w:w="1080" w:type="pct"/>
          </w:tcPr>
          <w:p w14:paraId="7F35E905" w14:textId="74B9C759"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CURO recommends an extension of ENO’s internal Streamlining Report to CURO </w:t>
            </w:r>
            <w:r w:rsidR="00CC5EEF">
              <w:rPr>
                <w:rFonts w:ascii="Times New Roman" w:hAnsi="Times New Roman" w:cs="Times New Roman"/>
                <w:color w:val="FF0000"/>
                <w:sz w:val="24"/>
                <w:szCs w:val="24"/>
              </w:rPr>
              <w:t>until</w:t>
            </w:r>
            <w:r>
              <w:rPr>
                <w:rFonts w:ascii="Times New Roman" w:hAnsi="Times New Roman" w:cs="Times New Roman"/>
                <w:color w:val="FF0000"/>
                <w:sz w:val="24"/>
                <w:szCs w:val="24"/>
              </w:rPr>
              <w:t xml:space="preserve"> January 30</w:t>
            </w:r>
            <w:r>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of each year relative to reporting requirements for the immediate preceding year </w:t>
            </w:r>
            <w:r>
              <w:rPr>
                <w:rFonts w:ascii="Times New Roman" w:hAnsi="Times New Roman" w:cs="Times New Roman"/>
                <w:color w:val="FF0000"/>
                <w:sz w:val="24"/>
                <w:szCs w:val="24"/>
              </w:rPr>
              <w:lastRenderedPageBreak/>
              <w:t>to allow ENO sufficient time to internally evaluate all reporting requirements.</w:t>
            </w:r>
          </w:p>
          <w:p w14:paraId="523952E3" w14:textId="77777777" w:rsidR="00754F37" w:rsidRDefault="00754F37" w:rsidP="00754F37">
            <w:pPr>
              <w:jc w:val="center"/>
              <w:rPr>
                <w:rFonts w:ascii="Times New Roman" w:hAnsi="Times New Roman" w:cs="Times New Roman"/>
                <w:color w:val="C0504D" w:themeColor="accent2"/>
                <w:sz w:val="24"/>
                <w:szCs w:val="24"/>
              </w:rPr>
            </w:pPr>
          </w:p>
        </w:tc>
      </w:tr>
      <w:tr w:rsidR="00754F37" w14:paraId="2F6FE208" w14:textId="77777777">
        <w:tc>
          <w:tcPr>
            <w:tcW w:w="444" w:type="pct"/>
          </w:tcPr>
          <w:p w14:paraId="7DA75520"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lastRenderedPageBreak/>
              <w:t>B2</w:t>
            </w:r>
          </w:p>
        </w:tc>
        <w:tc>
          <w:tcPr>
            <w:tcW w:w="807" w:type="pct"/>
          </w:tcPr>
          <w:p w14:paraId="1779B586"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Quarterly AMI Progress reports to the Advisors to the City Council</w:t>
            </w:r>
          </w:p>
        </w:tc>
        <w:tc>
          <w:tcPr>
            <w:tcW w:w="598" w:type="pct"/>
            <w:gridSpan w:val="2"/>
          </w:tcPr>
          <w:p w14:paraId="333583C3"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UD-16-04</w:t>
            </w:r>
          </w:p>
        </w:tc>
        <w:tc>
          <w:tcPr>
            <w:tcW w:w="617" w:type="pct"/>
          </w:tcPr>
          <w:p w14:paraId="270C9E84" w14:textId="77777777" w:rsidR="00754F37" w:rsidRDefault="00754F37" w:rsidP="00754F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R-18-99</w:t>
            </w:r>
          </w:p>
          <w:p w14:paraId="2A29FD27" w14:textId="77777777" w:rsidR="00754F37" w:rsidRDefault="00754F37" w:rsidP="00754F37">
            <w:pPr>
              <w:jc w:val="center"/>
              <w:rPr>
                <w:rFonts w:ascii="Times New Roman" w:hAnsi="Times New Roman" w:cs="Times New Roman"/>
                <w:sz w:val="24"/>
                <w:szCs w:val="24"/>
              </w:rPr>
            </w:pPr>
          </w:p>
        </w:tc>
        <w:tc>
          <w:tcPr>
            <w:tcW w:w="1454" w:type="pct"/>
          </w:tcPr>
          <w:p w14:paraId="27E19AC9"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ENO is directed to establish, in coordination with the Advisors, a quarterly on-site review of its AMI implementation commencing with the end of the first quarter of 2018 and continuing thereafter until a further order of the Council.  This is a field review and does not result in a report filed with the Council; however, it has been listed for purposes of transparency.</w:t>
            </w:r>
          </w:p>
          <w:p w14:paraId="14FBCDCA" w14:textId="77777777" w:rsidR="00754F37" w:rsidRDefault="00754F37" w:rsidP="00754F37">
            <w:pPr>
              <w:jc w:val="both"/>
              <w:rPr>
                <w:rFonts w:ascii="Times New Roman" w:hAnsi="Times New Roman" w:cs="Times New Roman"/>
                <w:sz w:val="24"/>
                <w:szCs w:val="24"/>
              </w:rPr>
            </w:pPr>
          </w:p>
        </w:tc>
        <w:tc>
          <w:tcPr>
            <w:tcW w:w="1080" w:type="pct"/>
          </w:tcPr>
          <w:p w14:paraId="1B127DC6" w14:textId="77777777"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t>CURO recommends this reporting requirement be removed since ENO has reported AMI Deployment as complete.</w:t>
            </w:r>
          </w:p>
        </w:tc>
      </w:tr>
      <w:tr w:rsidR="00754F37" w14:paraId="2BECCE3D" w14:textId="77777777">
        <w:tc>
          <w:tcPr>
            <w:tcW w:w="444" w:type="pct"/>
          </w:tcPr>
          <w:p w14:paraId="723F2339" w14:textId="77777777" w:rsidR="00754F37" w:rsidRDefault="00754F37" w:rsidP="00754F37">
            <w:pPr>
              <w:jc w:val="center"/>
              <w:rPr>
                <w:rFonts w:ascii="Times New Roman" w:hAnsi="Times New Roman" w:cs="Times New Roman"/>
                <w:b/>
                <w:sz w:val="24"/>
                <w:szCs w:val="24"/>
              </w:rPr>
            </w:pPr>
          </w:p>
          <w:p w14:paraId="7B372522" w14:textId="77777777" w:rsidR="00754F37" w:rsidRDefault="00754F37" w:rsidP="00754F37">
            <w:pPr>
              <w:jc w:val="center"/>
              <w:rPr>
                <w:rFonts w:ascii="Times New Roman" w:hAnsi="Times New Roman" w:cs="Times New Roman"/>
                <w:b/>
                <w:sz w:val="24"/>
                <w:szCs w:val="24"/>
              </w:rPr>
            </w:pPr>
          </w:p>
          <w:p w14:paraId="0D988B0E"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B3</w:t>
            </w:r>
          </w:p>
        </w:tc>
        <w:tc>
          <w:tcPr>
            <w:tcW w:w="807" w:type="pct"/>
          </w:tcPr>
          <w:p w14:paraId="301B5BBF" w14:textId="77777777" w:rsidR="00754F37" w:rsidRDefault="00754F37" w:rsidP="00754F37">
            <w:pPr>
              <w:rPr>
                <w:rFonts w:ascii="Times New Roman" w:hAnsi="Times New Roman" w:cs="Times New Roman"/>
                <w:sz w:val="24"/>
                <w:szCs w:val="24"/>
              </w:rPr>
            </w:pPr>
          </w:p>
          <w:p w14:paraId="249B890D" w14:textId="77777777" w:rsidR="00754F37" w:rsidRDefault="00754F37" w:rsidP="00754F37">
            <w:pPr>
              <w:rPr>
                <w:rFonts w:ascii="Times New Roman" w:hAnsi="Times New Roman" w:cs="Times New Roman"/>
                <w:sz w:val="24"/>
                <w:szCs w:val="24"/>
              </w:rPr>
            </w:pPr>
          </w:p>
          <w:p w14:paraId="7DE58951"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Energy Smart updated rate impact analysis (with annual level of funding)</w:t>
            </w:r>
          </w:p>
        </w:tc>
        <w:tc>
          <w:tcPr>
            <w:tcW w:w="598" w:type="pct"/>
            <w:gridSpan w:val="2"/>
          </w:tcPr>
          <w:p w14:paraId="69D1E135" w14:textId="77777777" w:rsidR="00754F37" w:rsidRDefault="00754F37" w:rsidP="00754F37">
            <w:pPr>
              <w:jc w:val="center"/>
              <w:rPr>
                <w:rFonts w:ascii="Times New Roman" w:hAnsi="Times New Roman" w:cs="Times New Roman"/>
                <w:sz w:val="24"/>
                <w:szCs w:val="24"/>
              </w:rPr>
            </w:pPr>
          </w:p>
          <w:p w14:paraId="33B9A6F7" w14:textId="77777777" w:rsidR="00754F37" w:rsidRDefault="00754F37" w:rsidP="00754F37">
            <w:pPr>
              <w:jc w:val="center"/>
              <w:rPr>
                <w:rFonts w:ascii="Times New Roman" w:hAnsi="Times New Roman" w:cs="Times New Roman"/>
                <w:sz w:val="24"/>
                <w:szCs w:val="24"/>
              </w:rPr>
            </w:pPr>
          </w:p>
          <w:p w14:paraId="74471D1B"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UD-17-03</w:t>
            </w:r>
          </w:p>
          <w:p w14:paraId="67348AAB"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UD-08-02</w:t>
            </w:r>
          </w:p>
        </w:tc>
        <w:tc>
          <w:tcPr>
            <w:tcW w:w="617" w:type="pct"/>
          </w:tcPr>
          <w:p w14:paraId="65B8B7AE" w14:textId="77777777" w:rsidR="00754F37" w:rsidRDefault="00754F37" w:rsidP="00754F37">
            <w:pPr>
              <w:jc w:val="center"/>
              <w:rPr>
                <w:rFonts w:ascii="Times New Roman" w:hAnsi="Times New Roman" w:cs="Times New Roman"/>
                <w:sz w:val="24"/>
                <w:szCs w:val="24"/>
              </w:rPr>
            </w:pPr>
          </w:p>
          <w:p w14:paraId="7A6B8E2F" w14:textId="77777777" w:rsidR="00754F37" w:rsidRDefault="00754F37" w:rsidP="00754F37">
            <w:pPr>
              <w:jc w:val="center"/>
              <w:rPr>
                <w:rFonts w:ascii="Times New Roman" w:hAnsi="Times New Roman" w:cs="Times New Roman"/>
                <w:sz w:val="24"/>
                <w:szCs w:val="24"/>
              </w:rPr>
            </w:pPr>
          </w:p>
          <w:p w14:paraId="0B3AAA92"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R-15-140</w:t>
            </w:r>
          </w:p>
        </w:tc>
        <w:tc>
          <w:tcPr>
            <w:tcW w:w="1454" w:type="pct"/>
          </w:tcPr>
          <w:p w14:paraId="64AE6280" w14:textId="77777777" w:rsidR="00754F37" w:rsidRDefault="00754F37" w:rsidP="00754F37">
            <w:pPr>
              <w:jc w:val="both"/>
              <w:rPr>
                <w:rFonts w:ascii="Times New Roman" w:hAnsi="Times New Roman" w:cs="Times New Roman"/>
                <w:sz w:val="24"/>
                <w:szCs w:val="24"/>
              </w:rPr>
            </w:pPr>
          </w:p>
          <w:p w14:paraId="1105C2F0"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ENO shall provide an updated rate impact analysis to the Advisors 30 days prior to the date of any change in rates related to funding Energy Smart. In addition, when the Companies make their initial filing containing their proposed budget levels for Energy Smart Program Year 7 and beyond, they are directed to include in that filing the typical monthly bill impacts associated with the approved annual level of funding.</w:t>
            </w:r>
          </w:p>
          <w:p w14:paraId="25141D06" w14:textId="77777777" w:rsidR="00754F37" w:rsidRDefault="00754F37" w:rsidP="00754F37">
            <w:pPr>
              <w:jc w:val="both"/>
              <w:rPr>
                <w:rFonts w:ascii="Times New Roman" w:hAnsi="Times New Roman" w:cs="Times New Roman"/>
                <w:sz w:val="24"/>
                <w:szCs w:val="24"/>
              </w:rPr>
            </w:pPr>
          </w:p>
        </w:tc>
        <w:tc>
          <w:tcPr>
            <w:tcW w:w="1080" w:type="pct"/>
          </w:tcPr>
          <w:p w14:paraId="0FAA2CA0" w14:textId="77777777" w:rsidR="00754F37" w:rsidRDefault="00754F37" w:rsidP="00754F37">
            <w:pPr>
              <w:jc w:val="center"/>
              <w:rPr>
                <w:rFonts w:ascii="Times New Roman" w:hAnsi="Times New Roman" w:cs="Times New Roman"/>
                <w:color w:val="FF0000"/>
                <w:sz w:val="24"/>
                <w:szCs w:val="24"/>
              </w:rPr>
            </w:pPr>
          </w:p>
          <w:p w14:paraId="0E7EA782" w14:textId="43F27E87"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CURO recommends this reporting requirement be removed because it is already included in the EECR annual updates. </w:t>
            </w:r>
          </w:p>
        </w:tc>
      </w:tr>
      <w:tr w:rsidR="00754F37" w14:paraId="09664CD5" w14:textId="77777777">
        <w:tc>
          <w:tcPr>
            <w:tcW w:w="444" w:type="pct"/>
          </w:tcPr>
          <w:p w14:paraId="36B0D3DA"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t>B4</w:t>
            </w:r>
          </w:p>
        </w:tc>
        <w:tc>
          <w:tcPr>
            <w:tcW w:w="807" w:type="pct"/>
          </w:tcPr>
          <w:p w14:paraId="38BC15EE"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AMI Deployment Progress Reports</w:t>
            </w:r>
          </w:p>
        </w:tc>
        <w:tc>
          <w:tcPr>
            <w:tcW w:w="598" w:type="pct"/>
            <w:gridSpan w:val="2"/>
          </w:tcPr>
          <w:p w14:paraId="22A22D18"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UD-16-04</w:t>
            </w:r>
          </w:p>
        </w:tc>
        <w:tc>
          <w:tcPr>
            <w:tcW w:w="617" w:type="pct"/>
          </w:tcPr>
          <w:p w14:paraId="42A8BF32" w14:textId="77777777" w:rsidR="00754F37" w:rsidRDefault="00754F37" w:rsidP="00754F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R-18-37</w:t>
            </w:r>
          </w:p>
          <w:p w14:paraId="5EBBB3F5" w14:textId="77777777" w:rsidR="00754F37" w:rsidRDefault="00754F37" w:rsidP="00754F37">
            <w:pPr>
              <w:jc w:val="center"/>
              <w:rPr>
                <w:rFonts w:ascii="Times New Roman" w:hAnsi="Times New Roman" w:cs="Times New Roman"/>
                <w:sz w:val="24"/>
                <w:szCs w:val="24"/>
              </w:rPr>
            </w:pPr>
          </w:p>
        </w:tc>
        <w:tc>
          <w:tcPr>
            <w:tcW w:w="1454" w:type="pct"/>
          </w:tcPr>
          <w:p w14:paraId="61F3B331"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ENO will file semi-annual (every six months) reports on the progress of the AMI deployment.</w:t>
            </w:r>
          </w:p>
          <w:p w14:paraId="5D2E3BEF" w14:textId="77777777" w:rsidR="00754F37" w:rsidRDefault="00754F37" w:rsidP="00754F37">
            <w:pPr>
              <w:jc w:val="both"/>
              <w:rPr>
                <w:rFonts w:ascii="Times New Roman" w:hAnsi="Times New Roman" w:cs="Times New Roman"/>
                <w:sz w:val="24"/>
                <w:szCs w:val="24"/>
              </w:rPr>
            </w:pPr>
          </w:p>
        </w:tc>
        <w:tc>
          <w:tcPr>
            <w:tcW w:w="1080" w:type="pct"/>
          </w:tcPr>
          <w:p w14:paraId="51BE378F" w14:textId="77777777"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CURO recommends the removal of this reporting requirement because ENO </w:t>
            </w:r>
            <w:r>
              <w:rPr>
                <w:rFonts w:ascii="Times New Roman" w:hAnsi="Times New Roman" w:cs="Times New Roman"/>
                <w:color w:val="FF0000"/>
                <w:sz w:val="24"/>
                <w:szCs w:val="24"/>
              </w:rPr>
              <w:lastRenderedPageBreak/>
              <w:t>reported AMI deployment as complete.</w:t>
            </w:r>
          </w:p>
        </w:tc>
      </w:tr>
      <w:tr w:rsidR="00754F37" w14:paraId="31EFE904" w14:textId="77777777">
        <w:tc>
          <w:tcPr>
            <w:tcW w:w="444" w:type="pct"/>
          </w:tcPr>
          <w:p w14:paraId="349E3FBA" w14:textId="77777777" w:rsidR="00754F37" w:rsidRDefault="00754F37" w:rsidP="00754F37">
            <w:pPr>
              <w:jc w:val="center"/>
              <w:rPr>
                <w:rFonts w:ascii="Times New Roman" w:hAnsi="Times New Roman" w:cs="Times New Roman"/>
                <w:b/>
                <w:sz w:val="24"/>
                <w:szCs w:val="24"/>
              </w:rPr>
            </w:pPr>
            <w:r>
              <w:rPr>
                <w:rFonts w:ascii="Times New Roman" w:hAnsi="Times New Roman" w:cs="Times New Roman"/>
                <w:b/>
                <w:sz w:val="24"/>
                <w:szCs w:val="24"/>
              </w:rPr>
              <w:lastRenderedPageBreak/>
              <w:t>B5</w:t>
            </w:r>
          </w:p>
        </w:tc>
        <w:tc>
          <w:tcPr>
            <w:tcW w:w="807" w:type="pct"/>
          </w:tcPr>
          <w:p w14:paraId="35FF8CD3"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Electric System Distribution Reliability Standards (“ESDRS”) Compliance Filing Report</w:t>
            </w:r>
          </w:p>
        </w:tc>
        <w:tc>
          <w:tcPr>
            <w:tcW w:w="598" w:type="pct"/>
            <w:gridSpan w:val="2"/>
          </w:tcPr>
          <w:p w14:paraId="27CA54B8"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UD-17-04</w:t>
            </w:r>
          </w:p>
        </w:tc>
        <w:tc>
          <w:tcPr>
            <w:tcW w:w="617" w:type="pct"/>
          </w:tcPr>
          <w:p w14:paraId="1820D70F"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R-23-73</w:t>
            </w:r>
          </w:p>
        </w:tc>
        <w:tc>
          <w:tcPr>
            <w:tcW w:w="1454" w:type="pct"/>
          </w:tcPr>
          <w:p w14:paraId="3EE7277A"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ENO is required to make a filing no later than April 30, 2023 per Resolution R-23-73, Ordering Paragraph 2, page 14 of certified Resolution R-23-73 and thereafter, file an annual ESDRS compliance filing by April 15</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every year starting in April 2024.  </w:t>
            </w:r>
          </w:p>
        </w:tc>
        <w:tc>
          <w:tcPr>
            <w:tcW w:w="1080" w:type="pct"/>
          </w:tcPr>
          <w:p w14:paraId="44E242AB" w14:textId="77777777" w:rsidR="00754F37" w:rsidRDefault="00754F37" w:rsidP="00754F37">
            <w:pPr>
              <w:jc w:val="center"/>
              <w:rPr>
                <w:rFonts w:ascii="Times New Roman" w:hAnsi="Times New Roman" w:cs="Times New Roman"/>
                <w:color w:val="FF0000"/>
                <w:sz w:val="24"/>
                <w:szCs w:val="24"/>
              </w:rPr>
            </w:pPr>
          </w:p>
          <w:p w14:paraId="372481AC" w14:textId="77777777"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New Reporting Requirement since the adoption of </w:t>
            </w:r>
          </w:p>
          <w:p w14:paraId="0E8F7E60" w14:textId="77777777"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t>R-21-153 (2021 Streamlining Resolution)</w:t>
            </w:r>
          </w:p>
        </w:tc>
      </w:tr>
      <w:tr w:rsidR="00754F37" w14:paraId="14A63535" w14:textId="77777777">
        <w:tc>
          <w:tcPr>
            <w:tcW w:w="444" w:type="pct"/>
          </w:tcPr>
          <w:p w14:paraId="2FF9EBF6" w14:textId="77777777" w:rsidR="00754F37" w:rsidRDefault="00754F37" w:rsidP="00754F37">
            <w:pPr>
              <w:jc w:val="center"/>
              <w:rPr>
                <w:rFonts w:ascii="Times New Roman" w:hAnsi="Times New Roman" w:cs="Times New Roman"/>
                <w:b/>
                <w:sz w:val="24"/>
                <w:szCs w:val="24"/>
              </w:rPr>
            </w:pPr>
          </w:p>
          <w:p w14:paraId="21DDFB75" w14:textId="09BF6CA7" w:rsidR="00754F37" w:rsidRDefault="00D81A22" w:rsidP="00754F37">
            <w:pPr>
              <w:jc w:val="center"/>
              <w:rPr>
                <w:rFonts w:ascii="Times New Roman" w:hAnsi="Times New Roman" w:cs="Times New Roman"/>
                <w:b/>
                <w:sz w:val="24"/>
                <w:szCs w:val="24"/>
              </w:rPr>
            </w:pPr>
            <w:r>
              <w:rPr>
                <w:rFonts w:ascii="Times New Roman" w:hAnsi="Times New Roman" w:cs="Times New Roman"/>
                <w:b/>
                <w:sz w:val="24"/>
                <w:szCs w:val="24"/>
              </w:rPr>
              <w:t>B6</w:t>
            </w:r>
          </w:p>
        </w:tc>
        <w:tc>
          <w:tcPr>
            <w:tcW w:w="807" w:type="pct"/>
          </w:tcPr>
          <w:p w14:paraId="5C048F18"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Release of Whole-Building Aggregated Data</w:t>
            </w:r>
          </w:p>
        </w:tc>
        <w:tc>
          <w:tcPr>
            <w:tcW w:w="598" w:type="pct"/>
            <w:gridSpan w:val="2"/>
          </w:tcPr>
          <w:p w14:paraId="35F27285"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UD-18-04</w:t>
            </w:r>
          </w:p>
        </w:tc>
        <w:tc>
          <w:tcPr>
            <w:tcW w:w="617" w:type="pct"/>
          </w:tcPr>
          <w:p w14:paraId="31203A40"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R-18-539</w:t>
            </w:r>
          </w:p>
        </w:tc>
        <w:tc>
          <w:tcPr>
            <w:tcW w:w="1454" w:type="pct"/>
          </w:tcPr>
          <w:p w14:paraId="3C676C3D"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 Council Resolution No. R-18-539, customers of an account to which an involved meter is attached will have the opportunity to challenge the appropriateness of the release of the data if there are “special circumstances” where the customer believe the Council’s rules would not sufficiently protect their privacy or belief that the building owner or building owner’s agent is using the data for improper purposes. Customers will be instructed to notify the CURO within 14 days of receipt of the notification letter of their intent to challenge the data release. If challenged, CURO will make the determination of whether or not the data is released.</w:t>
            </w:r>
          </w:p>
          <w:p w14:paraId="66B02278" w14:textId="77777777" w:rsidR="00754F37" w:rsidRDefault="00754F37" w:rsidP="00754F37">
            <w:pPr>
              <w:jc w:val="both"/>
              <w:rPr>
                <w:rFonts w:ascii="Times New Roman" w:hAnsi="Times New Roman" w:cs="Times New Roman"/>
                <w:color w:val="000000" w:themeColor="text1"/>
                <w:sz w:val="24"/>
                <w:szCs w:val="24"/>
              </w:rPr>
            </w:pPr>
          </w:p>
        </w:tc>
        <w:tc>
          <w:tcPr>
            <w:tcW w:w="1080" w:type="pct"/>
          </w:tcPr>
          <w:p w14:paraId="0430D7A9" w14:textId="618FB8B4" w:rsidR="00765EE4" w:rsidRDefault="00312425" w:rsidP="00754F37">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CURO </w:t>
            </w:r>
            <w:r w:rsidR="006C543F">
              <w:rPr>
                <w:rFonts w:ascii="Times New Roman" w:hAnsi="Times New Roman" w:cs="Times New Roman"/>
                <w:color w:val="FF0000"/>
                <w:sz w:val="24"/>
                <w:szCs w:val="24"/>
              </w:rPr>
              <w:t>recommends</w:t>
            </w:r>
          </w:p>
          <w:p w14:paraId="3C6B26DB" w14:textId="60CE1A13" w:rsidR="00754F37" w:rsidRDefault="00F25923" w:rsidP="00754F37">
            <w:pPr>
              <w:jc w:val="both"/>
              <w:rPr>
                <w:rFonts w:ascii="Times New Roman" w:hAnsi="Times New Roman" w:cs="Times New Roman"/>
                <w:color w:val="FF0000"/>
                <w:sz w:val="24"/>
                <w:szCs w:val="24"/>
              </w:rPr>
            </w:pPr>
            <w:r>
              <w:rPr>
                <w:rFonts w:ascii="Times New Roman" w:hAnsi="Times New Roman" w:cs="Times New Roman"/>
                <w:color w:val="FF0000"/>
                <w:sz w:val="24"/>
                <w:szCs w:val="24"/>
              </w:rPr>
              <w:t>removing this report</w:t>
            </w:r>
            <w:r w:rsidR="00754F37">
              <w:rPr>
                <w:rFonts w:ascii="Times New Roman" w:hAnsi="Times New Roman" w:cs="Times New Roman"/>
                <w:color w:val="FF0000"/>
                <w:sz w:val="24"/>
                <w:szCs w:val="24"/>
              </w:rPr>
              <w:t xml:space="preserve"> since </w:t>
            </w:r>
            <w:r>
              <w:rPr>
                <w:rFonts w:ascii="Times New Roman" w:hAnsi="Times New Roman" w:cs="Times New Roman"/>
                <w:color w:val="FF0000"/>
                <w:sz w:val="24"/>
                <w:szCs w:val="24"/>
              </w:rPr>
              <w:t>Resolution R-18-539 did not establish a reporting requirement.</w:t>
            </w:r>
          </w:p>
          <w:p w14:paraId="0E274C49" w14:textId="4C7687DE" w:rsidR="00765EE4" w:rsidRDefault="00765EE4" w:rsidP="00754F37">
            <w:pPr>
              <w:jc w:val="both"/>
              <w:rPr>
                <w:rFonts w:ascii="Times New Roman" w:hAnsi="Times New Roman" w:cs="Times New Roman"/>
                <w:sz w:val="24"/>
                <w:szCs w:val="24"/>
              </w:rPr>
            </w:pPr>
          </w:p>
        </w:tc>
      </w:tr>
      <w:tr w:rsidR="00754F37" w14:paraId="494F62E0" w14:textId="77777777">
        <w:tc>
          <w:tcPr>
            <w:tcW w:w="444" w:type="pct"/>
          </w:tcPr>
          <w:p w14:paraId="4753FDEE" w14:textId="4E20E375" w:rsidR="00754F37" w:rsidRDefault="00D81A22" w:rsidP="00754F37">
            <w:pPr>
              <w:jc w:val="center"/>
              <w:rPr>
                <w:rFonts w:ascii="Times New Roman" w:hAnsi="Times New Roman" w:cs="Times New Roman"/>
                <w:b/>
                <w:sz w:val="24"/>
                <w:szCs w:val="24"/>
              </w:rPr>
            </w:pPr>
            <w:r>
              <w:rPr>
                <w:rFonts w:ascii="Times New Roman" w:hAnsi="Times New Roman" w:cs="Times New Roman"/>
                <w:b/>
                <w:sz w:val="24"/>
                <w:szCs w:val="24"/>
              </w:rPr>
              <w:t>B7</w:t>
            </w:r>
          </w:p>
        </w:tc>
        <w:tc>
          <w:tcPr>
            <w:tcW w:w="807" w:type="pct"/>
          </w:tcPr>
          <w:p w14:paraId="7C417ED4" w14:textId="77777777" w:rsidR="00754F37" w:rsidRDefault="00754F37" w:rsidP="00754F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MW DG Solar Annual Filing</w:t>
            </w:r>
          </w:p>
          <w:p w14:paraId="77AB9661" w14:textId="77777777" w:rsidR="00754F37" w:rsidRDefault="00754F37" w:rsidP="00754F37">
            <w:pPr>
              <w:rPr>
                <w:rFonts w:ascii="Times New Roman" w:hAnsi="Times New Roman" w:cs="Times New Roman"/>
                <w:color w:val="000000" w:themeColor="text1"/>
                <w:sz w:val="24"/>
                <w:szCs w:val="24"/>
                <w:highlight w:val="yellow"/>
              </w:rPr>
            </w:pPr>
          </w:p>
        </w:tc>
        <w:tc>
          <w:tcPr>
            <w:tcW w:w="598" w:type="pct"/>
            <w:gridSpan w:val="2"/>
          </w:tcPr>
          <w:p w14:paraId="0CB501C0" w14:textId="77777777" w:rsidR="00754F37" w:rsidRDefault="00754F37" w:rsidP="00754F37">
            <w:pPr>
              <w:jc w:val="center"/>
              <w:rPr>
                <w:rFonts w:ascii="Times New Roman" w:hAnsi="Times New Roman" w:cs="Times New Roman"/>
                <w:color w:val="000000" w:themeColor="text1"/>
                <w:sz w:val="24"/>
                <w:szCs w:val="24"/>
                <w:highlight w:val="yellow"/>
              </w:rPr>
            </w:pPr>
          </w:p>
        </w:tc>
        <w:tc>
          <w:tcPr>
            <w:tcW w:w="617" w:type="pct"/>
          </w:tcPr>
          <w:p w14:paraId="1710D5A1"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R-18-222 (and AIP)</w:t>
            </w:r>
          </w:p>
          <w:p w14:paraId="7BE041C6" w14:textId="77777777" w:rsidR="00754F37" w:rsidRDefault="00754F37" w:rsidP="00754F37">
            <w:pPr>
              <w:jc w:val="center"/>
              <w:rPr>
                <w:rFonts w:ascii="Times New Roman" w:hAnsi="Times New Roman" w:cs="Times New Roman"/>
                <w:color w:val="000000" w:themeColor="text1"/>
                <w:sz w:val="24"/>
                <w:szCs w:val="24"/>
                <w:highlight w:val="yellow"/>
              </w:rPr>
            </w:pPr>
          </w:p>
        </w:tc>
        <w:tc>
          <w:tcPr>
            <w:tcW w:w="1454" w:type="pct"/>
          </w:tcPr>
          <w:p w14:paraId="65484349"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Report on data gathered concerning output of facilities and any impact on the distribution grid.</w:t>
            </w:r>
          </w:p>
          <w:p w14:paraId="204A3930" w14:textId="77777777" w:rsidR="00754F37" w:rsidRDefault="00754F37" w:rsidP="00754F37">
            <w:pPr>
              <w:jc w:val="both"/>
              <w:rPr>
                <w:rFonts w:ascii="Times New Roman" w:hAnsi="Times New Roman" w:cs="Times New Roman"/>
                <w:color w:val="000000" w:themeColor="text1"/>
                <w:sz w:val="24"/>
                <w:szCs w:val="24"/>
                <w:highlight w:val="yellow"/>
              </w:rPr>
            </w:pPr>
          </w:p>
        </w:tc>
        <w:tc>
          <w:tcPr>
            <w:tcW w:w="1080" w:type="pct"/>
          </w:tcPr>
          <w:p w14:paraId="5A80AEF7" w14:textId="77777777"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CURO recommends the removal of this reporting requirement.  Per </w:t>
            </w:r>
            <w:r>
              <w:rPr>
                <w:rFonts w:ascii="Times New Roman" w:hAnsi="Times New Roman" w:cs="Times New Roman"/>
                <w:color w:val="FF0000"/>
                <w:sz w:val="24"/>
                <w:szCs w:val="24"/>
              </w:rPr>
              <w:lastRenderedPageBreak/>
              <w:t>Resolution R-21-153 (2021 Streamlining Resolution), ENO has integrated this reporting requirement into the  Annual Distributed Energy Report.</w:t>
            </w:r>
          </w:p>
          <w:p w14:paraId="15C53358" w14:textId="77777777" w:rsidR="00754F37" w:rsidRDefault="00754F37" w:rsidP="00754F37">
            <w:pPr>
              <w:jc w:val="both"/>
              <w:rPr>
                <w:rFonts w:ascii="Times New Roman" w:hAnsi="Times New Roman" w:cs="Times New Roman"/>
                <w:color w:val="C0504D" w:themeColor="accent2"/>
                <w:sz w:val="24"/>
                <w:szCs w:val="24"/>
                <w:highlight w:val="yellow"/>
              </w:rPr>
            </w:pPr>
          </w:p>
        </w:tc>
      </w:tr>
      <w:tr w:rsidR="00754F37" w14:paraId="0CF95A60" w14:textId="77777777">
        <w:tc>
          <w:tcPr>
            <w:tcW w:w="444" w:type="pct"/>
          </w:tcPr>
          <w:p w14:paraId="05911627" w14:textId="19A07B7E" w:rsidR="00754F37" w:rsidRDefault="00D81A22" w:rsidP="00754F37">
            <w:pPr>
              <w:jc w:val="center"/>
              <w:rPr>
                <w:rFonts w:ascii="Times New Roman" w:hAnsi="Times New Roman" w:cs="Times New Roman"/>
                <w:b/>
                <w:sz w:val="24"/>
                <w:szCs w:val="24"/>
              </w:rPr>
            </w:pPr>
            <w:r>
              <w:rPr>
                <w:rFonts w:ascii="Times New Roman" w:hAnsi="Times New Roman" w:cs="Times New Roman"/>
                <w:b/>
                <w:sz w:val="24"/>
                <w:szCs w:val="24"/>
              </w:rPr>
              <w:lastRenderedPageBreak/>
              <w:t>B8</w:t>
            </w:r>
          </w:p>
        </w:tc>
        <w:tc>
          <w:tcPr>
            <w:tcW w:w="807" w:type="pct"/>
          </w:tcPr>
          <w:p w14:paraId="2A0B836D"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Monthly Progress Report on ENO’s Collaboration with the Sewerage and Water Board of New Orleans to Improve Reliability of Electric Service and Expedite a Long-Term Solution</w:t>
            </w:r>
          </w:p>
          <w:p w14:paraId="16BDBB5A" w14:textId="77777777" w:rsidR="00754F37" w:rsidRDefault="00754F37" w:rsidP="00754F37">
            <w:pPr>
              <w:rPr>
                <w:strike/>
                <w:color w:val="FF0000"/>
              </w:rPr>
            </w:pPr>
          </w:p>
        </w:tc>
        <w:tc>
          <w:tcPr>
            <w:tcW w:w="598" w:type="pct"/>
            <w:gridSpan w:val="2"/>
          </w:tcPr>
          <w:p w14:paraId="07C91B81" w14:textId="77777777" w:rsidR="00754F37" w:rsidRDefault="00754F37" w:rsidP="00754F37">
            <w:pPr>
              <w:jc w:val="center"/>
              <w:rPr>
                <w:rFonts w:ascii="Times New Roman" w:hAnsi="Times New Roman" w:cs="Times New Roman"/>
                <w:sz w:val="24"/>
                <w:szCs w:val="24"/>
              </w:rPr>
            </w:pPr>
          </w:p>
        </w:tc>
        <w:tc>
          <w:tcPr>
            <w:tcW w:w="617" w:type="pct"/>
          </w:tcPr>
          <w:p w14:paraId="4930D2FE"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R-19-78</w:t>
            </w:r>
          </w:p>
          <w:p w14:paraId="711B3DC7"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(Ordering Paragraph 2</w:t>
            </w:r>
          </w:p>
          <w:p w14:paraId="3D1DDD86" w14:textId="77777777" w:rsidR="00754F37" w:rsidRDefault="00754F37" w:rsidP="00754F37">
            <w:pPr>
              <w:jc w:val="center"/>
              <w:rPr>
                <w:strike/>
                <w:color w:val="FF0000"/>
              </w:rPr>
            </w:pPr>
            <w:r>
              <w:rPr>
                <w:rFonts w:ascii="Times New Roman" w:hAnsi="Times New Roman" w:cs="Times New Roman"/>
                <w:sz w:val="24"/>
                <w:szCs w:val="24"/>
              </w:rPr>
              <w:t>at p. 12)</w:t>
            </w:r>
          </w:p>
        </w:tc>
        <w:tc>
          <w:tcPr>
            <w:tcW w:w="1454" w:type="pct"/>
          </w:tcPr>
          <w:p w14:paraId="3DC83C9D"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 xml:space="preserve">R-19-78, p. 12 (Resolution and Order Imposing Sanctions; Directing Cost Protections and other Modifications to New Orleans Power Station) directs ENO (1) to develop solutions to help ensure the reliability of electric service the SWBNO to develop solutions and facilitate the transition of SWBNO to ENO as the primary source of reliable and economic power; (2) file a report with the Council every 30 days regarding the progress of its collaboration with SWBNO.  </w:t>
            </w:r>
          </w:p>
          <w:p w14:paraId="45CA3232" w14:textId="77777777" w:rsidR="00754F37" w:rsidRDefault="00754F37" w:rsidP="00754F37">
            <w:pPr>
              <w:jc w:val="both"/>
              <w:rPr>
                <w:strike/>
                <w:color w:val="FF0000"/>
              </w:rPr>
            </w:pPr>
          </w:p>
        </w:tc>
        <w:tc>
          <w:tcPr>
            <w:tcW w:w="1080" w:type="pct"/>
          </w:tcPr>
          <w:p w14:paraId="78F475DD" w14:textId="77777777" w:rsidR="00754F37" w:rsidRDefault="00754F37" w:rsidP="00754F37">
            <w:pPr>
              <w:jc w:val="center"/>
              <w:rPr>
                <w:rFonts w:ascii="Times New Roman" w:hAnsi="Times New Roman" w:cs="Times New Roman"/>
                <w:color w:val="FF0000"/>
                <w:sz w:val="24"/>
                <w:szCs w:val="24"/>
              </w:rPr>
            </w:pPr>
          </w:p>
          <w:p w14:paraId="555A86FC" w14:textId="211FFB3A" w:rsidR="00754F37" w:rsidRDefault="00754F37" w:rsidP="00754F37">
            <w:pPr>
              <w:jc w:val="center"/>
              <w:rPr>
                <w:color w:val="FF0000"/>
              </w:rPr>
            </w:pPr>
            <w:r>
              <w:rPr>
                <w:rFonts w:ascii="Times New Roman" w:hAnsi="Times New Roman" w:cs="Times New Roman"/>
                <w:color w:val="FF0000"/>
                <w:sz w:val="24"/>
                <w:szCs w:val="24"/>
              </w:rPr>
              <w:t xml:space="preserve">CURO recommends this reporting requirement be removed. </w:t>
            </w:r>
            <w:r w:rsidR="00F25923">
              <w:rPr>
                <w:rFonts w:ascii="Times New Roman" w:hAnsi="Times New Roman" w:cs="Times New Roman"/>
                <w:color w:val="FF0000"/>
                <w:sz w:val="24"/>
                <w:szCs w:val="24"/>
              </w:rPr>
              <w:t xml:space="preserve">Paragraph 28 of the 2022 AIP between </w:t>
            </w:r>
            <w:r>
              <w:rPr>
                <w:rFonts w:ascii="Times New Roman" w:hAnsi="Times New Roman" w:cs="Times New Roman"/>
                <w:color w:val="FF0000"/>
                <w:sz w:val="24"/>
                <w:szCs w:val="24"/>
              </w:rPr>
              <w:t xml:space="preserve">ENO and SWBNO, </w:t>
            </w:r>
            <w:r w:rsidR="00F25923">
              <w:rPr>
                <w:rFonts w:ascii="Times New Roman" w:hAnsi="Times New Roman" w:cs="Times New Roman"/>
                <w:color w:val="FF0000"/>
                <w:sz w:val="24"/>
                <w:szCs w:val="24"/>
              </w:rPr>
              <w:t xml:space="preserve">supercedes </w:t>
            </w:r>
            <w:r>
              <w:rPr>
                <w:rFonts w:ascii="Times New Roman" w:hAnsi="Times New Roman" w:cs="Times New Roman"/>
                <w:color w:val="FF0000"/>
                <w:sz w:val="24"/>
                <w:szCs w:val="24"/>
              </w:rPr>
              <w:t xml:space="preserve">l monthly progress report reporting requirements </w:t>
            </w:r>
            <w:r w:rsidR="00F25923">
              <w:rPr>
                <w:rFonts w:ascii="Times New Roman" w:hAnsi="Times New Roman" w:cs="Times New Roman"/>
                <w:color w:val="FF0000"/>
                <w:sz w:val="24"/>
                <w:szCs w:val="24"/>
              </w:rPr>
              <w:t>established by R-19-78.</w:t>
            </w:r>
          </w:p>
        </w:tc>
      </w:tr>
      <w:tr w:rsidR="00754F37" w14:paraId="5ED3AB19" w14:textId="77777777">
        <w:tc>
          <w:tcPr>
            <w:tcW w:w="444" w:type="pct"/>
          </w:tcPr>
          <w:p w14:paraId="550CCCC5" w14:textId="75F7F047" w:rsidR="00754F37" w:rsidRDefault="00D81A22" w:rsidP="00754F37">
            <w:pPr>
              <w:jc w:val="center"/>
              <w:rPr>
                <w:rFonts w:ascii="Times New Roman" w:hAnsi="Times New Roman" w:cs="Times New Roman"/>
                <w:b/>
                <w:sz w:val="24"/>
                <w:szCs w:val="24"/>
              </w:rPr>
            </w:pPr>
            <w:r>
              <w:rPr>
                <w:rFonts w:ascii="Times New Roman" w:hAnsi="Times New Roman" w:cs="Times New Roman"/>
                <w:b/>
                <w:sz w:val="24"/>
                <w:szCs w:val="24"/>
              </w:rPr>
              <w:t>B9</w:t>
            </w:r>
          </w:p>
        </w:tc>
        <w:tc>
          <w:tcPr>
            <w:tcW w:w="807" w:type="pct"/>
          </w:tcPr>
          <w:p w14:paraId="67188EBC" w14:textId="77777777" w:rsidR="00754F37" w:rsidRDefault="00754F37" w:rsidP="00754F37">
            <w:pPr>
              <w:rPr>
                <w:rFonts w:ascii="Times New Roman" w:hAnsi="Times New Roman" w:cs="Times New Roman"/>
                <w:sz w:val="24"/>
                <w:szCs w:val="24"/>
              </w:rPr>
            </w:pPr>
            <w:r>
              <w:rPr>
                <w:rFonts w:ascii="Times New Roman" w:hAnsi="Times New Roman" w:cs="Times New Roman"/>
                <w:sz w:val="24"/>
                <w:szCs w:val="24"/>
              </w:rPr>
              <w:t>Bi-monthly Sullivan Substation construction monitoring reports</w:t>
            </w:r>
          </w:p>
        </w:tc>
        <w:tc>
          <w:tcPr>
            <w:tcW w:w="598" w:type="pct"/>
            <w:gridSpan w:val="2"/>
          </w:tcPr>
          <w:p w14:paraId="3428B517" w14:textId="77777777" w:rsidR="00754F37" w:rsidRDefault="00754F37" w:rsidP="00754F37">
            <w:pPr>
              <w:jc w:val="center"/>
              <w:rPr>
                <w:rFonts w:ascii="Times New Roman" w:hAnsi="Times New Roman" w:cs="Times New Roman"/>
                <w:sz w:val="24"/>
                <w:szCs w:val="24"/>
              </w:rPr>
            </w:pPr>
          </w:p>
        </w:tc>
        <w:tc>
          <w:tcPr>
            <w:tcW w:w="617" w:type="pct"/>
          </w:tcPr>
          <w:p w14:paraId="18B7F153"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 xml:space="preserve">ENO &amp; SWBNO June 2, 2022 AIP; </w:t>
            </w:r>
          </w:p>
          <w:p w14:paraId="63B1B8F1" w14:textId="77777777" w:rsidR="00754F37" w:rsidRDefault="00754F37" w:rsidP="00754F37">
            <w:pPr>
              <w:jc w:val="center"/>
              <w:rPr>
                <w:rFonts w:ascii="Times New Roman" w:hAnsi="Times New Roman" w:cs="Times New Roman"/>
                <w:sz w:val="24"/>
                <w:szCs w:val="24"/>
              </w:rPr>
            </w:pPr>
            <w:r>
              <w:rPr>
                <w:rFonts w:ascii="Times New Roman" w:hAnsi="Times New Roman" w:cs="Times New Roman"/>
                <w:sz w:val="24"/>
                <w:szCs w:val="24"/>
              </w:rPr>
              <w:t>R-22-258</w:t>
            </w:r>
          </w:p>
        </w:tc>
        <w:tc>
          <w:tcPr>
            <w:tcW w:w="1454" w:type="pct"/>
          </w:tcPr>
          <w:p w14:paraId="3410F3CE" w14:textId="77777777" w:rsidR="00754F37" w:rsidRDefault="00754F37" w:rsidP="00754F37">
            <w:pPr>
              <w:jc w:val="both"/>
              <w:rPr>
                <w:rFonts w:ascii="Times New Roman" w:hAnsi="Times New Roman" w:cs="Times New Roman"/>
                <w:sz w:val="24"/>
                <w:szCs w:val="24"/>
              </w:rPr>
            </w:pPr>
            <w:r>
              <w:rPr>
                <w:rFonts w:ascii="Times New Roman" w:hAnsi="Times New Roman" w:cs="Times New Roman"/>
                <w:sz w:val="24"/>
                <w:szCs w:val="24"/>
              </w:rPr>
              <w:t xml:space="preserve">ENO shall provide bi-monthly construction monitoring reports concerning the Sullivan Substation’s construction to the Council, CURO, and SWBNO.  The first bi-monthly construction monitoring was due at the end of the second calendar month immediately following issuance of the resolution approving the referenced Agreement-in-Principle </w:t>
            </w:r>
            <w:r>
              <w:rPr>
                <w:rFonts w:ascii="Times New Roman" w:hAnsi="Times New Roman" w:cs="Times New Roman"/>
                <w:sz w:val="24"/>
                <w:szCs w:val="24"/>
              </w:rPr>
              <w:lastRenderedPageBreak/>
              <w:t xml:space="preserve">and was required to include a combined EPC Cost and Non-EPC Cost estimate (“Final All-Cost Estimate”) and estimated construction timeline for the substation.  </w:t>
            </w:r>
          </w:p>
        </w:tc>
        <w:tc>
          <w:tcPr>
            <w:tcW w:w="1080" w:type="pct"/>
          </w:tcPr>
          <w:p w14:paraId="09660227" w14:textId="64897706"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New reporting requirement </w:t>
            </w:r>
            <w:r w:rsidR="00F25923">
              <w:rPr>
                <w:rFonts w:ascii="Times New Roman" w:hAnsi="Times New Roman" w:cs="Times New Roman"/>
                <w:color w:val="FF0000"/>
                <w:sz w:val="24"/>
                <w:szCs w:val="24"/>
              </w:rPr>
              <w:t xml:space="preserve">pursuant to </w:t>
            </w:r>
            <w:r>
              <w:rPr>
                <w:rFonts w:ascii="Times New Roman" w:hAnsi="Times New Roman" w:cs="Times New Roman"/>
                <w:color w:val="FF0000"/>
                <w:sz w:val="24"/>
                <w:szCs w:val="24"/>
              </w:rPr>
              <w:t xml:space="preserve"> </w:t>
            </w:r>
          </w:p>
          <w:p w14:paraId="296D3D41" w14:textId="3BCBCAE1" w:rsidR="00754F37" w:rsidRDefault="002123A0" w:rsidP="002123A0">
            <w:pPr>
              <w:jc w:val="center"/>
              <w:rPr>
                <w:rFonts w:ascii="Times New Roman" w:hAnsi="Times New Roman" w:cs="Times New Roman"/>
                <w:color w:val="FF0000"/>
                <w:sz w:val="24"/>
                <w:szCs w:val="24"/>
              </w:rPr>
            </w:pPr>
            <w:r>
              <w:rPr>
                <w:rFonts w:ascii="Times New Roman" w:hAnsi="Times New Roman" w:cs="Times New Roman"/>
                <w:color w:val="FF0000"/>
                <w:sz w:val="24"/>
                <w:szCs w:val="24"/>
              </w:rPr>
              <w:t>R-21-153 (2021 Streamlining Resolution)</w:t>
            </w:r>
          </w:p>
        </w:tc>
      </w:tr>
      <w:tr w:rsidR="00754F37" w14:paraId="5C6D5BD8" w14:textId="77777777">
        <w:tc>
          <w:tcPr>
            <w:tcW w:w="444" w:type="pct"/>
          </w:tcPr>
          <w:p w14:paraId="7957B8AB" w14:textId="52DD723A" w:rsidR="00754F37" w:rsidRDefault="00D81A22" w:rsidP="00754F37">
            <w:pPr>
              <w:jc w:val="center"/>
              <w:rPr>
                <w:rFonts w:ascii="Times New Roman" w:hAnsi="Times New Roman" w:cs="Times New Roman"/>
                <w:b/>
                <w:sz w:val="24"/>
                <w:szCs w:val="24"/>
              </w:rPr>
            </w:pPr>
            <w:r>
              <w:rPr>
                <w:rFonts w:ascii="Times New Roman" w:hAnsi="Times New Roman" w:cs="Times New Roman"/>
                <w:b/>
                <w:sz w:val="24"/>
                <w:szCs w:val="24"/>
              </w:rPr>
              <w:t>B10</w:t>
            </w:r>
          </w:p>
        </w:tc>
        <w:tc>
          <w:tcPr>
            <w:tcW w:w="807" w:type="pct"/>
          </w:tcPr>
          <w:p w14:paraId="3554691D"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Semi-Annual SSCRII Rider Filing</w:t>
            </w:r>
          </w:p>
          <w:p w14:paraId="02515415" w14:textId="77777777" w:rsidR="00754F37" w:rsidRDefault="00754F37" w:rsidP="00754F37">
            <w:pPr>
              <w:rPr>
                <w:rFonts w:ascii="Times New Roman" w:hAnsi="Times New Roman" w:cs="Times New Roman"/>
                <w:color w:val="000000" w:themeColor="text1"/>
                <w:sz w:val="24"/>
                <w:szCs w:val="24"/>
              </w:rPr>
            </w:pPr>
          </w:p>
        </w:tc>
        <w:tc>
          <w:tcPr>
            <w:tcW w:w="598" w:type="pct"/>
            <w:gridSpan w:val="2"/>
          </w:tcPr>
          <w:p w14:paraId="0513553E" w14:textId="77777777" w:rsidR="00754F37" w:rsidRDefault="00754F37" w:rsidP="00754F37">
            <w:pPr>
              <w:jc w:val="center"/>
              <w:rPr>
                <w:rFonts w:ascii="Times New Roman" w:hAnsi="Times New Roman" w:cs="Times New Roman"/>
                <w:color w:val="000000" w:themeColor="text1"/>
                <w:sz w:val="24"/>
                <w:szCs w:val="24"/>
              </w:rPr>
            </w:pPr>
          </w:p>
        </w:tc>
        <w:tc>
          <w:tcPr>
            <w:tcW w:w="617" w:type="pct"/>
          </w:tcPr>
          <w:p w14:paraId="51B9D410"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R-22-437 As Corrected</w:t>
            </w:r>
          </w:p>
          <w:p w14:paraId="61093E8C" w14:textId="77777777" w:rsidR="00754F37" w:rsidRDefault="00754F37" w:rsidP="00754F37">
            <w:pPr>
              <w:jc w:val="center"/>
              <w:rPr>
                <w:rFonts w:ascii="Times New Roman" w:hAnsi="Times New Roman" w:cs="Times New Roman"/>
                <w:color w:val="000000" w:themeColor="text1"/>
                <w:sz w:val="24"/>
                <w:szCs w:val="24"/>
              </w:rPr>
            </w:pPr>
          </w:p>
        </w:tc>
        <w:tc>
          <w:tcPr>
            <w:tcW w:w="1454" w:type="pct"/>
          </w:tcPr>
          <w:p w14:paraId="3AB15C1F"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 the Financing Order adopted in Resolution R-22-437 on October 6, 2022 in regard to the Application of ENO and LURC for Authority to Fund and Finance Storm Recovery Reserves, and Related Relief, ENO as the Servicer of the Storm Recovery Bonds is to apply for a mandatory periodic True-up of the Rate Adjustment to the Securitized Storm Cost Recovery Rider SSCRII (“Rider SSCRII”). Each semi-annual true-up shall be filed with the Council at least 15 days prior to the first billing cycle of the month in which the proposed Rate Adjustment will be in effect.</w:t>
            </w:r>
          </w:p>
          <w:p w14:paraId="4127F43E" w14:textId="77777777" w:rsidR="00754F37" w:rsidRDefault="00754F37" w:rsidP="00754F37">
            <w:pPr>
              <w:jc w:val="both"/>
              <w:rPr>
                <w:rFonts w:ascii="Times New Roman" w:hAnsi="Times New Roman" w:cs="Times New Roman"/>
                <w:color w:val="000000" w:themeColor="text1"/>
                <w:sz w:val="24"/>
                <w:szCs w:val="24"/>
              </w:rPr>
            </w:pPr>
          </w:p>
        </w:tc>
        <w:tc>
          <w:tcPr>
            <w:tcW w:w="1080" w:type="pct"/>
          </w:tcPr>
          <w:p w14:paraId="34D1C657" w14:textId="54918903"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New reporting requirement </w:t>
            </w:r>
            <w:r w:rsidR="00F25923">
              <w:rPr>
                <w:rFonts w:ascii="Times New Roman" w:hAnsi="Times New Roman" w:cs="Times New Roman"/>
                <w:color w:val="FF0000"/>
                <w:sz w:val="24"/>
                <w:szCs w:val="24"/>
              </w:rPr>
              <w:t xml:space="preserve">pursuant to </w:t>
            </w:r>
            <w:r>
              <w:rPr>
                <w:rFonts w:ascii="Times New Roman" w:hAnsi="Times New Roman" w:cs="Times New Roman"/>
                <w:color w:val="FF0000"/>
                <w:sz w:val="24"/>
                <w:szCs w:val="24"/>
              </w:rPr>
              <w:t xml:space="preserve"> </w:t>
            </w:r>
          </w:p>
          <w:p w14:paraId="6EB2CCF2" w14:textId="77777777"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t>R-21-153 (2021 Streamlining Resolution)</w:t>
            </w:r>
          </w:p>
        </w:tc>
      </w:tr>
      <w:tr w:rsidR="00754F37" w14:paraId="6D5535D6" w14:textId="77777777">
        <w:tc>
          <w:tcPr>
            <w:tcW w:w="444" w:type="pct"/>
          </w:tcPr>
          <w:p w14:paraId="6A695817" w14:textId="58F0751B" w:rsidR="00754F37" w:rsidRDefault="00D81A22" w:rsidP="00754F37">
            <w:pPr>
              <w:jc w:val="center"/>
              <w:rPr>
                <w:rFonts w:ascii="Times New Roman" w:hAnsi="Times New Roman" w:cs="Times New Roman"/>
                <w:b/>
                <w:sz w:val="24"/>
                <w:szCs w:val="24"/>
              </w:rPr>
            </w:pPr>
            <w:r>
              <w:rPr>
                <w:rFonts w:ascii="Times New Roman" w:hAnsi="Times New Roman" w:cs="Times New Roman"/>
                <w:b/>
                <w:sz w:val="24"/>
                <w:szCs w:val="24"/>
              </w:rPr>
              <w:t>B11</w:t>
            </w:r>
          </w:p>
        </w:tc>
        <w:tc>
          <w:tcPr>
            <w:tcW w:w="807" w:type="pct"/>
          </w:tcPr>
          <w:p w14:paraId="66655666"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SSCOII Rider Filing</w:t>
            </w:r>
          </w:p>
          <w:p w14:paraId="58B08469" w14:textId="77777777" w:rsidR="00754F37" w:rsidRDefault="00754F37" w:rsidP="00754F37">
            <w:pPr>
              <w:rPr>
                <w:rFonts w:ascii="Times New Roman" w:hAnsi="Times New Roman" w:cs="Times New Roman"/>
                <w:color w:val="000000" w:themeColor="text1"/>
                <w:sz w:val="24"/>
                <w:szCs w:val="24"/>
              </w:rPr>
            </w:pPr>
          </w:p>
        </w:tc>
        <w:tc>
          <w:tcPr>
            <w:tcW w:w="598" w:type="pct"/>
            <w:gridSpan w:val="2"/>
          </w:tcPr>
          <w:p w14:paraId="06D48591" w14:textId="77777777" w:rsidR="00754F37" w:rsidRDefault="00754F37" w:rsidP="00754F37">
            <w:pPr>
              <w:jc w:val="center"/>
              <w:rPr>
                <w:rFonts w:ascii="Times New Roman" w:hAnsi="Times New Roman" w:cs="Times New Roman"/>
                <w:color w:val="000000" w:themeColor="text1"/>
                <w:sz w:val="24"/>
                <w:szCs w:val="24"/>
              </w:rPr>
            </w:pPr>
          </w:p>
        </w:tc>
        <w:tc>
          <w:tcPr>
            <w:tcW w:w="617" w:type="pct"/>
          </w:tcPr>
          <w:p w14:paraId="2214C1DA" w14:textId="77777777" w:rsidR="00754F37" w:rsidRDefault="00754F37" w:rsidP="00754F37">
            <w:pPr>
              <w:jc w:val="center"/>
              <w:rPr>
                <w:rFonts w:ascii="Times New Roman" w:hAnsi="Times New Roman" w:cs="Times New Roman"/>
                <w:color w:val="000000" w:themeColor="text1"/>
                <w:sz w:val="24"/>
                <w:szCs w:val="24"/>
              </w:rPr>
            </w:pPr>
          </w:p>
          <w:p w14:paraId="115D8830" w14:textId="77777777" w:rsidR="00754F37" w:rsidRDefault="00754F37" w:rsidP="00754F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R-22-437 As Corrected</w:t>
            </w:r>
          </w:p>
          <w:p w14:paraId="4C3E518F" w14:textId="77777777" w:rsidR="00754F37" w:rsidRDefault="00754F37" w:rsidP="00754F37">
            <w:pPr>
              <w:jc w:val="center"/>
              <w:rPr>
                <w:rFonts w:ascii="Times New Roman" w:hAnsi="Times New Roman" w:cs="Times New Roman"/>
                <w:color w:val="000000" w:themeColor="text1"/>
                <w:sz w:val="24"/>
                <w:szCs w:val="24"/>
              </w:rPr>
            </w:pPr>
          </w:p>
        </w:tc>
        <w:tc>
          <w:tcPr>
            <w:tcW w:w="1454" w:type="pct"/>
          </w:tcPr>
          <w:p w14:paraId="0DCBB6AA" w14:textId="77777777" w:rsidR="00754F37" w:rsidRDefault="00754F37" w:rsidP="00754F3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 the Financing Order adopted in Resolution R-22-437 on October 6, 2022 in regard to the Application of ENO and LURC for Authority to Fund and Finance Storm Recovery Reserves, and Related Relief, ENO as the Servicer of the Storm Recovery Bonds is to apply for a mandatory periodic True-up of the Rate Adjustment to the Securitized Storm </w:t>
            </w:r>
            <w:r>
              <w:rPr>
                <w:rFonts w:ascii="Times New Roman" w:hAnsi="Times New Roman" w:cs="Times New Roman"/>
                <w:color w:val="000000" w:themeColor="text1"/>
                <w:sz w:val="24"/>
                <w:szCs w:val="24"/>
              </w:rPr>
              <w:lastRenderedPageBreak/>
              <w:t>Cost Recovery Rider SSCRII (“Rider SSCRII”). Each semi-annual true-up shall be filed with the Council at least 15 days prior to the first billing cycle of the month in which the proposed Rate Adjustment will be in effect.</w:t>
            </w:r>
          </w:p>
          <w:p w14:paraId="5B2B57D2" w14:textId="77777777" w:rsidR="00754F37" w:rsidRDefault="00754F37" w:rsidP="00754F37">
            <w:pPr>
              <w:jc w:val="both"/>
              <w:rPr>
                <w:rFonts w:ascii="Times New Roman" w:hAnsi="Times New Roman" w:cs="Times New Roman"/>
                <w:color w:val="000000" w:themeColor="text1"/>
                <w:sz w:val="24"/>
                <w:szCs w:val="24"/>
              </w:rPr>
            </w:pPr>
          </w:p>
        </w:tc>
        <w:tc>
          <w:tcPr>
            <w:tcW w:w="1080" w:type="pct"/>
          </w:tcPr>
          <w:p w14:paraId="28D4F8BE" w14:textId="0E8AD0C8"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New reporting requirement </w:t>
            </w:r>
            <w:r w:rsidR="00F25923">
              <w:rPr>
                <w:rFonts w:ascii="Times New Roman" w:hAnsi="Times New Roman" w:cs="Times New Roman"/>
                <w:color w:val="FF0000"/>
                <w:sz w:val="24"/>
                <w:szCs w:val="24"/>
              </w:rPr>
              <w:t xml:space="preserve">pursuant to </w:t>
            </w:r>
          </w:p>
          <w:p w14:paraId="0D57689E" w14:textId="77777777" w:rsidR="00754F37" w:rsidRDefault="00754F37" w:rsidP="00754F37">
            <w:pPr>
              <w:jc w:val="center"/>
              <w:rPr>
                <w:rFonts w:ascii="Times New Roman" w:hAnsi="Times New Roman" w:cs="Times New Roman"/>
                <w:color w:val="FF0000"/>
                <w:sz w:val="24"/>
                <w:szCs w:val="24"/>
              </w:rPr>
            </w:pPr>
            <w:r>
              <w:rPr>
                <w:rFonts w:ascii="Times New Roman" w:hAnsi="Times New Roman" w:cs="Times New Roman"/>
                <w:color w:val="FF0000"/>
                <w:sz w:val="24"/>
                <w:szCs w:val="24"/>
              </w:rPr>
              <w:t>R-21-153 (2021 Streamlining Resolution)</w:t>
            </w:r>
          </w:p>
        </w:tc>
      </w:tr>
    </w:tbl>
    <w:p w14:paraId="78FF34AC" w14:textId="77777777" w:rsidR="00414B31" w:rsidRDefault="00414B31">
      <w:pPr>
        <w:rPr>
          <w:rFonts w:ascii="Times New Roman" w:hAnsi="Times New Roman" w:cs="Times New Roman"/>
          <w:sz w:val="24"/>
          <w:szCs w:val="24"/>
        </w:rPr>
      </w:pPr>
    </w:p>
    <w:sectPr w:rsidR="00414B31">
      <w:headerReference w:type="even" r:id="rId11"/>
      <w:head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E39A" w14:textId="77777777" w:rsidR="00AC7C36" w:rsidRDefault="00AC7C36">
      <w:pPr>
        <w:spacing w:after="0" w:line="240" w:lineRule="auto"/>
      </w:pPr>
      <w:r>
        <w:separator/>
      </w:r>
    </w:p>
  </w:endnote>
  <w:endnote w:type="continuationSeparator" w:id="0">
    <w:p w14:paraId="530C9572" w14:textId="77777777" w:rsidR="00AC7C36" w:rsidRDefault="00AC7C36">
      <w:pPr>
        <w:spacing w:after="0" w:line="240" w:lineRule="auto"/>
      </w:pPr>
      <w:r>
        <w:continuationSeparator/>
      </w:r>
    </w:p>
  </w:endnote>
  <w:endnote w:type="continuationNotice" w:id="1">
    <w:p w14:paraId="131E1F16" w14:textId="77777777" w:rsidR="00AC7C36" w:rsidRDefault="00AC7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D23A" w14:textId="77777777" w:rsidR="00AC7C36" w:rsidRDefault="00AC7C36">
      <w:pPr>
        <w:spacing w:after="0" w:line="240" w:lineRule="auto"/>
      </w:pPr>
      <w:r>
        <w:separator/>
      </w:r>
    </w:p>
  </w:footnote>
  <w:footnote w:type="continuationSeparator" w:id="0">
    <w:p w14:paraId="0297B3FB" w14:textId="77777777" w:rsidR="00AC7C36" w:rsidRDefault="00AC7C36">
      <w:pPr>
        <w:spacing w:after="0" w:line="240" w:lineRule="auto"/>
      </w:pPr>
      <w:r>
        <w:continuationSeparator/>
      </w:r>
    </w:p>
  </w:footnote>
  <w:footnote w:type="continuationNotice" w:id="1">
    <w:p w14:paraId="08C0C962" w14:textId="77777777" w:rsidR="00AC7C36" w:rsidRDefault="00AC7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A08D" w14:textId="6E519C5C" w:rsidR="00414B31" w:rsidRDefault="0041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D3C9" w14:textId="4BE87759" w:rsidR="00414B31" w:rsidRDefault="00414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1279" w14:textId="18221378" w:rsidR="00414B31" w:rsidRDefault="00414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B0417"/>
    <w:multiLevelType w:val="hybridMultilevel"/>
    <w:tmpl w:val="2EB06D4A"/>
    <w:lvl w:ilvl="0" w:tplc="58DA3F2E">
      <w:start w:val="19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64F21"/>
    <w:multiLevelType w:val="hybridMultilevel"/>
    <w:tmpl w:val="563463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76325029">
    <w:abstractNumId w:val="0"/>
  </w:num>
  <w:num w:numId="2" w16cid:durableId="128538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31"/>
    <w:rsid w:val="00077303"/>
    <w:rsid w:val="000A0590"/>
    <w:rsid w:val="00107FA2"/>
    <w:rsid w:val="00112DED"/>
    <w:rsid w:val="00113F37"/>
    <w:rsid w:val="00156583"/>
    <w:rsid w:val="00192AAC"/>
    <w:rsid w:val="001D1DF9"/>
    <w:rsid w:val="002123A0"/>
    <w:rsid w:val="002806F9"/>
    <w:rsid w:val="002E0965"/>
    <w:rsid w:val="00312425"/>
    <w:rsid w:val="00341B32"/>
    <w:rsid w:val="003D27A1"/>
    <w:rsid w:val="00414B31"/>
    <w:rsid w:val="00477689"/>
    <w:rsid w:val="004C4F0E"/>
    <w:rsid w:val="005A24D7"/>
    <w:rsid w:val="006C543F"/>
    <w:rsid w:val="006E0E15"/>
    <w:rsid w:val="00754F37"/>
    <w:rsid w:val="00765EE4"/>
    <w:rsid w:val="0076757E"/>
    <w:rsid w:val="00974F03"/>
    <w:rsid w:val="009D51A9"/>
    <w:rsid w:val="00A320F2"/>
    <w:rsid w:val="00A47EC0"/>
    <w:rsid w:val="00A834A4"/>
    <w:rsid w:val="00AC6CEE"/>
    <w:rsid w:val="00AC7C36"/>
    <w:rsid w:val="00C52878"/>
    <w:rsid w:val="00CB1D75"/>
    <w:rsid w:val="00CC0EBD"/>
    <w:rsid w:val="00CC5EEF"/>
    <w:rsid w:val="00CD56D1"/>
    <w:rsid w:val="00D36A57"/>
    <w:rsid w:val="00D55746"/>
    <w:rsid w:val="00D81A22"/>
    <w:rsid w:val="00DE092D"/>
    <w:rsid w:val="00EB40CF"/>
    <w:rsid w:val="00F2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416319"/>
  <w15:docId w15:val="{E75A3A3E-5883-4936-9654-A1E2E73B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Pr>
      <w:rFonts w:eastAsiaTheme="minorEastAsia"/>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806">
      <w:bodyDiv w:val="1"/>
      <w:marLeft w:val="0"/>
      <w:marRight w:val="0"/>
      <w:marTop w:val="0"/>
      <w:marBottom w:val="0"/>
      <w:divBdr>
        <w:top w:val="none" w:sz="0" w:space="0" w:color="auto"/>
        <w:left w:val="none" w:sz="0" w:space="0" w:color="auto"/>
        <w:bottom w:val="none" w:sz="0" w:space="0" w:color="auto"/>
        <w:right w:val="none" w:sz="0" w:space="0" w:color="auto"/>
      </w:divBdr>
    </w:div>
    <w:div w:id="87625891">
      <w:bodyDiv w:val="1"/>
      <w:marLeft w:val="0"/>
      <w:marRight w:val="0"/>
      <w:marTop w:val="0"/>
      <w:marBottom w:val="0"/>
      <w:divBdr>
        <w:top w:val="none" w:sz="0" w:space="0" w:color="auto"/>
        <w:left w:val="none" w:sz="0" w:space="0" w:color="auto"/>
        <w:bottom w:val="none" w:sz="0" w:space="0" w:color="auto"/>
        <w:right w:val="none" w:sz="0" w:space="0" w:color="auto"/>
      </w:divBdr>
    </w:div>
    <w:div w:id="110247098">
      <w:bodyDiv w:val="1"/>
      <w:marLeft w:val="0"/>
      <w:marRight w:val="0"/>
      <w:marTop w:val="0"/>
      <w:marBottom w:val="0"/>
      <w:divBdr>
        <w:top w:val="none" w:sz="0" w:space="0" w:color="auto"/>
        <w:left w:val="none" w:sz="0" w:space="0" w:color="auto"/>
        <w:bottom w:val="none" w:sz="0" w:space="0" w:color="auto"/>
        <w:right w:val="none" w:sz="0" w:space="0" w:color="auto"/>
      </w:divBdr>
    </w:div>
    <w:div w:id="293171685">
      <w:bodyDiv w:val="1"/>
      <w:marLeft w:val="0"/>
      <w:marRight w:val="0"/>
      <w:marTop w:val="0"/>
      <w:marBottom w:val="0"/>
      <w:divBdr>
        <w:top w:val="none" w:sz="0" w:space="0" w:color="auto"/>
        <w:left w:val="none" w:sz="0" w:space="0" w:color="auto"/>
        <w:bottom w:val="none" w:sz="0" w:space="0" w:color="auto"/>
        <w:right w:val="none" w:sz="0" w:space="0" w:color="auto"/>
      </w:divBdr>
    </w:div>
    <w:div w:id="362436657">
      <w:bodyDiv w:val="1"/>
      <w:marLeft w:val="0"/>
      <w:marRight w:val="0"/>
      <w:marTop w:val="0"/>
      <w:marBottom w:val="0"/>
      <w:divBdr>
        <w:top w:val="none" w:sz="0" w:space="0" w:color="auto"/>
        <w:left w:val="none" w:sz="0" w:space="0" w:color="auto"/>
        <w:bottom w:val="none" w:sz="0" w:space="0" w:color="auto"/>
        <w:right w:val="none" w:sz="0" w:space="0" w:color="auto"/>
      </w:divBdr>
    </w:div>
    <w:div w:id="368994074">
      <w:bodyDiv w:val="1"/>
      <w:marLeft w:val="0"/>
      <w:marRight w:val="0"/>
      <w:marTop w:val="0"/>
      <w:marBottom w:val="0"/>
      <w:divBdr>
        <w:top w:val="none" w:sz="0" w:space="0" w:color="auto"/>
        <w:left w:val="none" w:sz="0" w:space="0" w:color="auto"/>
        <w:bottom w:val="none" w:sz="0" w:space="0" w:color="auto"/>
        <w:right w:val="none" w:sz="0" w:space="0" w:color="auto"/>
      </w:divBdr>
    </w:div>
    <w:div w:id="382215906">
      <w:bodyDiv w:val="1"/>
      <w:marLeft w:val="0"/>
      <w:marRight w:val="0"/>
      <w:marTop w:val="0"/>
      <w:marBottom w:val="0"/>
      <w:divBdr>
        <w:top w:val="none" w:sz="0" w:space="0" w:color="auto"/>
        <w:left w:val="none" w:sz="0" w:space="0" w:color="auto"/>
        <w:bottom w:val="none" w:sz="0" w:space="0" w:color="auto"/>
        <w:right w:val="none" w:sz="0" w:space="0" w:color="auto"/>
      </w:divBdr>
    </w:div>
    <w:div w:id="597253766">
      <w:bodyDiv w:val="1"/>
      <w:marLeft w:val="0"/>
      <w:marRight w:val="0"/>
      <w:marTop w:val="0"/>
      <w:marBottom w:val="0"/>
      <w:divBdr>
        <w:top w:val="none" w:sz="0" w:space="0" w:color="auto"/>
        <w:left w:val="none" w:sz="0" w:space="0" w:color="auto"/>
        <w:bottom w:val="none" w:sz="0" w:space="0" w:color="auto"/>
        <w:right w:val="none" w:sz="0" w:space="0" w:color="auto"/>
      </w:divBdr>
    </w:div>
    <w:div w:id="801340667">
      <w:bodyDiv w:val="1"/>
      <w:marLeft w:val="0"/>
      <w:marRight w:val="0"/>
      <w:marTop w:val="0"/>
      <w:marBottom w:val="0"/>
      <w:divBdr>
        <w:top w:val="none" w:sz="0" w:space="0" w:color="auto"/>
        <w:left w:val="none" w:sz="0" w:space="0" w:color="auto"/>
        <w:bottom w:val="none" w:sz="0" w:space="0" w:color="auto"/>
        <w:right w:val="none" w:sz="0" w:space="0" w:color="auto"/>
      </w:divBdr>
    </w:div>
    <w:div w:id="809517096">
      <w:bodyDiv w:val="1"/>
      <w:marLeft w:val="0"/>
      <w:marRight w:val="0"/>
      <w:marTop w:val="0"/>
      <w:marBottom w:val="0"/>
      <w:divBdr>
        <w:top w:val="none" w:sz="0" w:space="0" w:color="auto"/>
        <w:left w:val="none" w:sz="0" w:space="0" w:color="auto"/>
        <w:bottom w:val="none" w:sz="0" w:space="0" w:color="auto"/>
        <w:right w:val="none" w:sz="0" w:space="0" w:color="auto"/>
      </w:divBdr>
    </w:div>
    <w:div w:id="1134912938">
      <w:bodyDiv w:val="1"/>
      <w:marLeft w:val="0"/>
      <w:marRight w:val="0"/>
      <w:marTop w:val="0"/>
      <w:marBottom w:val="0"/>
      <w:divBdr>
        <w:top w:val="none" w:sz="0" w:space="0" w:color="auto"/>
        <w:left w:val="none" w:sz="0" w:space="0" w:color="auto"/>
        <w:bottom w:val="none" w:sz="0" w:space="0" w:color="auto"/>
        <w:right w:val="none" w:sz="0" w:space="0" w:color="auto"/>
      </w:divBdr>
    </w:div>
    <w:div w:id="1162427972">
      <w:bodyDiv w:val="1"/>
      <w:marLeft w:val="0"/>
      <w:marRight w:val="0"/>
      <w:marTop w:val="0"/>
      <w:marBottom w:val="0"/>
      <w:divBdr>
        <w:top w:val="none" w:sz="0" w:space="0" w:color="auto"/>
        <w:left w:val="none" w:sz="0" w:space="0" w:color="auto"/>
        <w:bottom w:val="none" w:sz="0" w:space="0" w:color="auto"/>
        <w:right w:val="none" w:sz="0" w:space="0" w:color="auto"/>
      </w:divBdr>
    </w:div>
    <w:div w:id="1266839275">
      <w:bodyDiv w:val="1"/>
      <w:marLeft w:val="0"/>
      <w:marRight w:val="0"/>
      <w:marTop w:val="0"/>
      <w:marBottom w:val="0"/>
      <w:divBdr>
        <w:top w:val="none" w:sz="0" w:space="0" w:color="auto"/>
        <w:left w:val="none" w:sz="0" w:space="0" w:color="auto"/>
        <w:bottom w:val="none" w:sz="0" w:space="0" w:color="auto"/>
        <w:right w:val="none" w:sz="0" w:space="0" w:color="auto"/>
      </w:divBdr>
    </w:div>
    <w:div w:id="1330282461">
      <w:bodyDiv w:val="1"/>
      <w:marLeft w:val="0"/>
      <w:marRight w:val="0"/>
      <w:marTop w:val="0"/>
      <w:marBottom w:val="0"/>
      <w:divBdr>
        <w:top w:val="none" w:sz="0" w:space="0" w:color="auto"/>
        <w:left w:val="none" w:sz="0" w:space="0" w:color="auto"/>
        <w:bottom w:val="none" w:sz="0" w:space="0" w:color="auto"/>
        <w:right w:val="none" w:sz="0" w:space="0" w:color="auto"/>
      </w:divBdr>
    </w:div>
    <w:div w:id="1340933631">
      <w:bodyDiv w:val="1"/>
      <w:marLeft w:val="0"/>
      <w:marRight w:val="0"/>
      <w:marTop w:val="0"/>
      <w:marBottom w:val="0"/>
      <w:divBdr>
        <w:top w:val="none" w:sz="0" w:space="0" w:color="auto"/>
        <w:left w:val="none" w:sz="0" w:space="0" w:color="auto"/>
        <w:bottom w:val="none" w:sz="0" w:space="0" w:color="auto"/>
        <w:right w:val="none" w:sz="0" w:space="0" w:color="auto"/>
      </w:divBdr>
    </w:div>
    <w:div w:id="1368607880">
      <w:bodyDiv w:val="1"/>
      <w:marLeft w:val="0"/>
      <w:marRight w:val="0"/>
      <w:marTop w:val="0"/>
      <w:marBottom w:val="0"/>
      <w:divBdr>
        <w:top w:val="none" w:sz="0" w:space="0" w:color="auto"/>
        <w:left w:val="none" w:sz="0" w:space="0" w:color="auto"/>
        <w:bottom w:val="none" w:sz="0" w:space="0" w:color="auto"/>
        <w:right w:val="none" w:sz="0" w:space="0" w:color="auto"/>
      </w:divBdr>
    </w:div>
    <w:div w:id="1475878372">
      <w:bodyDiv w:val="1"/>
      <w:marLeft w:val="0"/>
      <w:marRight w:val="0"/>
      <w:marTop w:val="0"/>
      <w:marBottom w:val="0"/>
      <w:divBdr>
        <w:top w:val="none" w:sz="0" w:space="0" w:color="auto"/>
        <w:left w:val="none" w:sz="0" w:space="0" w:color="auto"/>
        <w:bottom w:val="none" w:sz="0" w:space="0" w:color="auto"/>
        <w:right w:val="none" w:sz="0" w:space="0" w:color="auto"/>
      </w:divBdr>
    </w:div>
    <w:div w:id="1523858684">
      <w:bodyDiv w:val="1"/>
      <w:marLeft w:val="0"/>
      <w:marRight w:val="0"/>
      <w:marTop w:val="0"/>
      <w:marBottom w:val="0"/>
      <w:divBdr>
        <w:top w:val="none" w:sz="0" w:space="0" w:color="auto"/>
        <w:left w:val="none" w:sz="0" w:space="0" w:color="auto"/>
        <w:bottom w:val="none" w:sz="0" w:space="0" w:color="auto"/>
        <w:right w:val="none" w:sz="0" w:space="0" w:color="auto"/>
      </w:divBdr>
    </w:div>
    <w:div w:id="1551115016">
      <w:bodyDiv w:val="1"/>
      <w:marLeft w:val="0"/>
      <w:marRight w:val="0"/>
      <w:marTop w:val="0"/>
      <w:marBottom w:val="0"/>
      <w:divBdr>
        <w:top w:val="none" w:sz="0" w:space="0" w:color="auto"/>
        <w:left w:val="none" w:sz="0" w:space="0" w:color="auto"/>
        <w:bottom w:val="none" w:sz="0" w:space="0" w:color="auto"/>
        <w:right w:val="none" w:sz="0" w:space="0" w:color="auto"/>
      </w:divBdr>
    </w:div>
    <w:div w:id="1713843561">
      <w:bodyDiv w:val="1"/>
      <w:marLeft w:val="0"/>
      <w:marRight w:val="0"/>
      <w:marTop w:val="0"/>
      <w:marBottom w:val="0"/>
      <w:divBdr>
        <w:top w:val="none" w:sz="0" w:space="0" w:color="auto"/>
        <w:left w:val="none" w:sz="0" w:space="0" w:color="auto"/>
        <w:bottom w:val="none" w:sz="0" w:space="0" w:color="auto"/>
        <w:right w:val="none" w:sz="0" w:space="0" w:color="auto"/>
      </w:divBdr>
    </w:div>
    <w:div w:id="1756587277">
      <w:bodyDiv w:val="1"/>
      <w:marLeft w:val="0"/>
      <w:marRight w:val="0"/>
      <w:marTop w:val="0"/>
      <w:marBottom w:val="0"/>
      <w:divBdr>
        <w:top w:val="none" w:sz="0" w:space="0" w:color="auto"/>
        <w:left w:val="none" w:sz="0" w:space="0" w:color="auto"/>
        <w:bottom w:val="none" w:sz="0" w:space="0" w:color="auto"/>
        <w:right w:val="none" w:sz="0" w:space="0" w:color="auto"/>
      </w:divBdr>
    </w:div>
    <w:div w:id="1794133774">
      <w:bodyDiv w:val="1"/>
      <w:marLeft w:val="0"/>
      <w:marRight w:val="0"/>
      <w:marTop w:val="0"/>
      <w:marBottom w:val="0"/>
      <w:divBdr>
        <w:top w:val="none" w:sz="0" w:space="0" w:color="auto"/>
        <w:left w:val="none" w:sz="0" w:space="0" w:color="auto"/>
        <w:bottom w:val="none" w:sz="0" w:space="0" w:color="auto"/>
        <w:right w:val="none" w:sz="0" w:space="0" w:color="auto"/>
      </w:divBdr>
    </w:div>
    <w:div w:id="1952086549">
      <w:bodyDiv w:val="1"/>
      <w:marLeft w:val="0"/>
      <w:marRight w:val="0"/>
      <w:marTop w:val="0"/>
      <w:marBottom w:val="0"/>
      <w:divBdr>
        <w:top w:val="none" w:sz="0" w:space="0" w:color="auto"/>
        <w:left w:val="none" w:sz="0" w:space="0" w:color="auto"/>
        <w:bottom w:val="none" w:sz="0" w:space="0" w:color="auto"/>
        <w:right w:val="none" w:sz="0" w:space="0" w:color="auto"/>
      </w:divBdr>
    </w:div>
    <w:div w:id="2036156232">
      <w:bodyDiv w:val="1"/>
      <w:marLeft w:val="0"/>
      <w:marRight w:val="0"/>
      <w:marTop w:val="0"/>
      <w:marBottom w:val="0"/>
      <w:divBdr>
        <w:top w:val="none" w:sz="0" w:space="0" w:color="auto"/>
        <w:left w:val="none" w:sz="0" w:space="0" w:color="auto"/>
        <w:bottom w:val="none" w:sz="0" w:space="0" w:color="auto"/>
        <w:right w:val="none" w:sz="0" w:space="0" w:color="auto"/>
      </w:divBdr>
    </w:div>
    <w:div w:id="20981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35A7023686B449AC40DA22C4A8328" ma:contentTypeVersion="11" ma:contentTypeDescription="Create a new document." ma:contentTypeScope="" ma:versionID="61e2f092c2679bedfd993412c6e4db73">
  <xsd:schema xmlns:xsd="http://www.w3.org/2001/XMLSchema" xmlns:xs="http://www.w3.org/2001/XMLSchema" xmlns:p="http://schemas.microsoft.com/office/2006/metadata/properties" xmlns:ns2="8b748c3c-77e8-45f9-bf51-be7be9abd0b2" xmlns:ns3="6c63ccac-6a91-4505-a669-05ae15353d97" targetNamespace="http://schemas.microsoft.com/office/2006/metadata/properties" ma:root="true" ma:fieldsID="c1a8f7e9d17573b3c8ff43e42beede41" ns2:_="" ns3:_="">
    <xsd:import namespace="8b748c3c-77e8-45f9-bf51-be7be9abd0b2"/>
    <xsd:import namespace="6c63ccac-6a91-4505-a669-05ae15353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8c3c-77e8-45f9-bf51-be7be9abd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3ccac-6a91-4505-a669-05ae15353d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3DCA1-DE3E-46AC-B5EF-57E288BF0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8c3c-77e8-45f9-bf51-be7be9abd0b2"/>
    <ds:schemaRef ds:uri="6c63ccac-6a91-4505-a669-05ae15353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4CFC4-83BB-4FFC-9C1B-D99F8840FCC6}">
  <ds:schemaRefs>
    <ds:schemaRef ds:uri="http://schemas.openxmlformats.org/officeDocument/2006/bibliography"/>
  </ds:schemaRefs>
</ds:datastoreItem>
</file>

<file path=customXml/itemProps3.xml><?xml version="1.0" encoding="utf-8"?>
<ds:datastoreItem xmlns:ds="http://schemas.openxmlformats.org/officeDocument/2006/customXml" ds:itemID="{5D669BFA-573E-438E-8972-088701C8F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DE6057-5A31-4D0A-BC28-C523C2378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F. Mason</dc:creator>
  <cp:lastModifiedBy>Bobbie F. Mason</cp:lastModifiedBy>
  <cp:revision>15</cp:revision>
  <cp:lastPrinted>2023-03-15T18:06:00Z</cp:lastPrinted>
  <dcterms:created xsi:type="dcterms:W3CDTF">2023-03-29T20:43:00Z</dcterms:created>
  <dcterms:modified xsi:type="dcterms:W3CDTF">2023-03-29T21:08:00Z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0x010100DA935A7023686B449AC40DA22C4A8328</vt:lpwstr>
  </property>
</Properties>
</file>