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C241A" w14:textId="70E3A953" w:rsidR="00861025" w:rsidRPr="00C76499" w:rsidRDefault="00861025" w:rsidP="00C76499">
      <w:pPr>
        <w:pStyle w:val="Heading4"/>
        <w:numPr>
          <w:ilvl w:val="3"/>
          <w:numId w:val="0"/>
        </w:numPr>
        <w:spacing w:line="480" w:lineRule="auto"/>
        <w:jc w:val="center"/>
        <w:rPr>
          <w:rFonts w:ascii="Times New Roman" w:hAnsi="Times New Roman"/>
          <w:b/>
          <w:bCs/>
          <w:i w:val="0"/>
        </w:rPr>
      </w:pPr>
      <w:bookmarkStart w:id="0" w:name="_GoBack"/>
      <w:bookmarkEnd w:id="0"/>
      <w:r w:rsidRPr="00C76499">
        <w:rPr>
          <w:rFonts w:ascii="Times New Roman" w:hAnsi="Times New Roman"/>
          <w:b/>
          <w:bCs/>
          <w:i w:val="0"/>
          <w:szCs w:val="24"/>
        </w:rPr>
        <w:t>BEFORE THE</w:t>
      </w:r>
    </w:p>
    <w:p w14:paraId="494C241B" w14:textId="77777777" w:rsidR="00861025" w:rsidRPr="00C76499" w:rsidRDefault="00861025" w:rsidP="00C76499">
      <w:pPr>
        <w:spacing w:line="480" w:lineRule="auto"/>
        <w:jc w:val="center"/>
        <w:rPr>
          <w:b/>
          <w:bCs/>
        </w:rPr>
      </w:pPr>
      <w:r w:rsidRPr="00E97C9A">
        <w:rPr>
          <w:b/>
          <w:bCs/>
        </w:rPr>
        <w:t xml:space="preserve">COUNCIL OF THE </w:t>
      </w:r>
      <w:smartTag w:uri="urn:schemas-microsoft-com:office:smarttags" w:element="stockticker">
        <w:r w:rsidRPr="00E97C9A">
          <w:rPr>
            <w:b/>
            <w:bCs/>
          </w:rPr>
          <w:t>CITY</w:t>
        </w:r>
      </w:smartTag>
      <w:r w:rsidRPr="00E97C9A">
        <w:rPr>
          <w:b/>
          <w:bCs/>
        </w:rPr>
        <w:t xml:space="preserve"> OF </w:t>
      </w:r>
      <w:smartTag w:uri="urn:schemas-microsoft-com:office:smarttags" w:element="stockticker">
        <w:r w:rsidRPr="00E97C9A">
          <w:rPr>
            <w:b/>
            <w:bCs/>
          </w:rPr>
          <w:t>NEW</w:t>
        </w:r>
      </w:smartTag>
      <w:r w:rsidRPr="00E97C9A">
        <w:rPr>
          <w:b/>
          <w:bCs/>
        </w:rPr>
        <w:t xml:space="preserve"> ORLEANS</w:t>
      </w:r>
    </w:p>
    <w:p w14:paraId="6A4A3107" w14:textId="29CDC2ED" w:rsidR="59A46C6E" w:rsidRPr="00C76499" w:rsidRDefault="59A46C6E" w:rsidP="00C76499">
      <w:pPr>
        <w:spacing w:line="480" w:lineRule="auto"/>
        <w:jc w:val="center"/>
        <w:rPr>
          <w:b/>
          <w:bCs/>
        </w:rPr>
      </w:pPr>
    </w:p>
    <w:tbl>
      <w:tblPr>
        <w:tblW w:w="0" w:type="auto"/>
        <w:tblLayout w:type="fixed"/>
        <w:tblLook w:val="0000" w:firstRow="0" w:lastRow="0" w:firstColumn="0" w:lastColumn="0" w:noHBand="0" w:noVBand="0"/>
      </w:tblPr>
      <w:tblGrid>
        <w:gridCol w:w="4320"/>
        <w:gridCol w:w="360"/>
        <w:gridCol w:w="4140"/>
      </w:tblGrid>
      <w:tr w:rsidR="00861025" w:rsidRPr="00861025" w14:paraId="494C2425" w14:textId="77777777" w:rsidTr="00991CD4">
        <w:tc>
          <w:tcPr>
            <w:tcW w:w="4320" w:type="dxa"/>
          </w:tcPr>
          <w:p w14:paraId="494C241C" w14:textId="77777777" w:rsidR="00861025" w:rsidRPr="00861025" w:rsidRDefault="00861025" w:rsidP="00861025">
            <w:pPr>
              <w:widowControl w:val="0"/>
              <w:tabs>
                <w:tab w:val="left" w:pos="4680"/>
                <w:tab w:val="left" w:pos="5040"/>
                <w:tab w:val="left" w:pos="5580"/>
              </w:tabs>
              <w:rPr>
                <w:b/>
                <w:snapToGrid w:val="0"/>
              </w:rPr>
            </w:pPr>
            <w:r w:rsidRPr="00C54B84">
              <w:rPr>
                <w:b/>
                <w:snapToGrid w:val="0"/>
                <w:szCs w:val="24"/>
              </w:rPr>
              <w:t>IN RE</w:t>
            </w:r>
            <w:r w:rsidRPr="00861025">
              <w:rPr>
                <w:b/>
                <w:snapToGrid w:val="0"/>
                <w:szCs w:val="24"/>
              </w:rPr>
              <w:t xml:space="preserve">: </w:t>
            </w:r>
            <w:r w:rsidR="000F25C2">
              <w:rPr>
                <w:b/>
                <w:snapToGrid w:val="0"/>
                <w:szCs w:val="24"/>
              </w:rPr>
              <w:t>ESTABLISHING A DOCKET AND OPENING A RULEMAKING PROCEEDING TO CONSIDER REVISING THE COUNCIL’S RULES TO ALLOW RELEASE OF WHOLE-BUILDING DATA TO BUILDING OWNERS</w:t>
            </w:r>
            <w:r w:rsidRPr="00861025">
              <w:rPr>
                <w:b/>
                <w:snapToGrid w:val="0"/>
                <w:szCs w:val="24"/>
              </w:rPr>
              <w:t xml:space="preserve"> </w:t>
            </w:r>
          </w:p>
        </w:tc>
        <w:tc>
          <w:tcPr>
            <w:tcW w:w="360" w:type="dxa"/>
          </w:tcPr>
          <w:p w14:paraId="494C241D" w14:textId="77777777" w:rsidR="00861025" w:rsidRPr="00861025" w:rsidRDefault="00861025" w:rsidP="00861025">
            <w:pPr>
              <w:suppressLineNumbers/>
              <w:jc w:val="center"/>
              <w:rPr>
                <w:b/>
              </w:rPr>
            </w:pPr>
            <w:r w:rsidRPr="00861025">
              <w:rPr>
                <w:b/>
              </w:rPr>
              <w:t>)</w:t>
            </w:r>
          </w:p>
          <w:p w14:paraId="494C241E" w14:textId="77777777" w:rsidR="00861025" w:rsidRPr="00861025" w:rsidRDefault="00861025" w:rsidP="00861025">
            <w:pPr>
              <w:suppressLineNumbers/>
              <w:jc w:val="center"/>
              <w:rPr>
                <w:b/>
              </w:rPr>
            </w:pPr>
            <w:r w:rsidRPr="00861025">
              <w:rPr>
                <w:b/>
              </w:rPr>
              <w:t>)</w:t>
            </w:r>
          </w:p>
          <w:p w14:paraId="494C241F" w14:textId="77777777" w:rsidR="00861025" w:rsidRPr="00861025" w:rsidRDefault="00861025" w:rsidP="00861025">
            <w:pPr>
              <w:suppressLineNumbers/>
              <w:jc w:val="center"/>
              <w:rPr>
                <w:b/>
              </w:rPr>
            </w:pPr>
            <w:r w:rsidRPr="00861025">
              <w:rPr>
                <w:b/>
              </w:rPr>
              <w:t>)</w:t>
            </w:r>
          </w:p>
          <w:p w14:paraId="494C2420" w14:textId="77777777" w:rsidR="00861025" w:rsidRPr="00861025" w:rsidRDefault="00861025" w:rsidP="00861025">
            <w:pPr>
              <w:suppressLineNumbers/>
              <w:jc w:val="center"/>
              <w:rPr>
                <w:b/>
              </w:rPr>
            </w:pPr>
            <w:r w:rsidRPr="00861025">
              <w:rPr>
                <w:b/>
              </w:rPr>
              <w:t>)</w:t>
            </w:r>
          </w:p>
          <w:p w14:paraId="494C2421" w14:textId="77777777" w:rsidR="00861025" w:rsidRPr="00861025" w:rsidRDefault="00861025" w:rsidP="00861025">
            <w:pPr>
              <w:suppressLineNumbers/>
              <w:jc w:val="center"/>
              <w:rPr>
                <w:b/>
              </w:rPr>
            </w:pPr>
            <w:r w:rsidRPr="00861025">
              <w:rPr>
                <w:b/>
              </w:rPr>
              <w:t>)</w:t>
            </w:r>
          </w:p>
          <w:p w14:paraId="494C2422" w14:textId="77777777" w:rsidR="00861025" w:rsidRPr="00861025" w:rsidRDefault="00861025" w:rsidP="00861025">
            <w:pPr>
              <w:suppressLineNumbers/>
              <w:jc w:val="center"/>
              <w:rPr>
                <w:b/>
              </w:rPr>
            </w:pPr>
            <w:r w:rsidRPr="00861025">
              <w:rPr>
                <w:b/>
              </w:rPr>
              <w:t>)</w:t>
            </w:r>
          </w:p>
          <w:p w14:paraId="494C2423" w14:textId="77777777" w:rsidR="00861025" w:rsidRPr="00861025" w:rsidRDefault="00861025" w:rsidP="00861025">
            <w:pPr>
              <w:suppressLineNumbers/>
              <w:jc w:val="center"/>
              <w:rPr>
                <w:b/>
              </w:rPr>
            </w:pPr>
            <w:r w:rsidRPr="00861025">
              <w:rPr>
                <w:b/>
              </w:rPr>
              <w:t>)</w:t>
            </w:r>
          </w:p>
        </w:tc>
        <w:tc>
          <w:tcPr>
            <w:tcW w:w="4140" w:type="dxa"/>
            <w:vAlign w:val="center"/>
          </w:tcPr>
          <w:p w14:paraId="494C2424" w14:textId="77777777" w:rsidR="00861025" w:rsidRPr="00861025" w:rsidRDefault="00861025" w:rsidP="00861025">
            <w:pPr>
              <w:suppressLineNumbers/>
              <w:jc w:val="center"/>
              <w:rPr>
                <w:b/>
              </w:rPr>
            </w:pPr>
            <w:r w:rsidRPr="00861025">
              <w:rPr>
                <w:b/>
              </w:rPr>
              <w:t>DOCKET NO. UD-</w:t>
            </w:r>
            <w:r w:rsidR="000F25C2">
              <w:rPr>
                <w:b/>
              </w:rPr>
              <w:t>18-04</w:t>
            </w:r>
          </w:p>
        </w:tc>
      </w:tr>
    </w:tbl>
    <w:p w14:paraId="494C2426" w14:textId="77777777" w:rsidR="00861025" w:rsidRDefault="00861025" w:rsidP="00861025"/>
    <w:p w14:paraId="494C2427" w14:textId="77777777" w:rsidR="00BE2847" w:rsidRPr="00861025" w:rsidRDefault="00BE2847" w:rsidP="00861025"/>
    <w:p w14:paraId="494C2428" w14:textId="77777777" w:rsidR="00B545C0" w:rsidRPr="00C76499" w:rsidRDefault="00B545C0">
      <w:pPr>
        <w:jc w:val="center"/>
        <w:rPr>
          <w:b/>
          <w:bCs/>
          <w:u w:val="single"/>
        </w:rPr>
      </w:pPr>
      <w:r w:rsidRPr="00E97C9A">
        <w:rPr>
          <w:b/>
          <w:bCs/>
          <w:u w:val="single"/>
        </w:rPr>
        <w:t>STIPULATED SETTLEMENT TERM SHEET</w:t>
      </w:r>
    </w:p>
    <w:p w14:paraId="494C242C" w14:textId="77777777" w:rsidR="00333A51" w:rsidRPr="00B5535F" w:rsidRDefault="00333A51" w:rsidP="00B5535F">
      <w:pPr>
        <w:jc w:val="center"/>
        <w:rPr>
          <w:b/>
          <w:u w:val="single"/>
        </w:rPr>
      </w:pPr>
    </w:p>
    <w:p w14:paraId="494C242D" w14:textId="5E6F8DC0" w:rsidR="0026351D" w:rsidRPr="00C76499" w:rsidRDefault="0026351D" w:rsidP="00C76499">
      <w:pPr>
        <w:spacing w:line="480" w:lineRule="auto"/>
        <w:ind w:firstLine="720"/>
        <w:jc w:val="both"/>
        <w:rPr>
          <w:b/>
          <w:bCs/>
          <w:u w:val="single"/>
        </w:rPr>
      </w:pPr>
      <w:r>
        <w:t>Applicant, Entergy New Orleans, LLC (“ENO” or the “Company”), the Advisors (“Advisors”) for the Council (“Council”) for the City of New Orleans, the Alliance for Afford</w:t>
      </w:r>
      <w:r w:rsidR="00401061">
        <w:t>able Energy (“Alliance”)</w:t>
      </w:r>
      <w:r w:rsidR="00401061" w:rsidRPr="6E1CB51C">
        <w:t xml:space="preserve">, </w:t>
      </w:r>
      <w:r w:rsidR="466180A4" w:rsidRPr="466180A4">
        <w:t xml:space="preserve">National Housing Trust, </w:t>
      </w:r>
      <w:r w:rsidR="002900E8">
        <w:t xml:space="preserve">and the National Resource Defense Council </w:t>
      </w:r>
      <w:r>
        <w:t>hereby agree to settle and resolve the captioned matter upon the following terms, which shall be the basis for an agreement in principle to be presented t</w:t>
      </w:r>
      <w:r w:rsidR="002900E8">
        <w:t xml:space="preserve">o the Council for approval.  All remaining intervenors </w:t>
      </w:r>
      <w:r>
        <w:t>either support or do not oppose this settlement term sheet, as designated by the signature</w:t>
      </w:r>
      <w:r w:rsidR="002900E8">
        <w:t xml:space="preserve"> of their</w:t>
      </w:r>
      <w:r>
        <w:t xml:space="preserve"> representative below. </w:t>
      </w:r>
    </w:p>
    <w:p w14:paraId="494C2438" w14:textId="2A17E8B3" w:rsidR="009806F6" w:rsidRDefault="00071373" w:rsidP="00623A97">
      <w:pPr>
        <w:spacing w:line="480" w:lineRule="auto"/>
        <w:ind w:firstLine="720"/>
        <w:jc w:val="both"/>
      </w:pPr>
      <w:r>
        <w:t>Recognizing that o</w:t>
      </w:r>
      <w:r w:rsidR="00D25BB3">
        <w:t>n June 21, 2018</w:t>
      </w:r>
      <w:r w:rsidR="00A7058E" w:rsidRPr="1ECD2B58">
        <w:t>,</w:t>
      </w:r>
      <w:r w:rsidR="00D25BB3">
        <w:t xml:space="preserve"> in Resolution No. R-18-225</w:t>
      </w:r>
      <w:r w:rsidR="002900E8" w:rsidRPr="1ECD2B58">
        <w:t xml:space="preserve">, </w:t>
      </w:r>
      <w:r w:rsidR="00D25BB3">
        <w:t>the Council,</w:t>
      </w:r>
      <w:r w:rsidR="007C2CD9">
        <w:t xml:space="preserve"> subsequent to discussions with the Mayor’s Office of Resiliency</w:t>
      </w:r>
      <w:r w:rsidR="007C2CD9" w:rsidRPr="1ECD2B58">
        <w:t xml:space="preserve">, </w:t>
      </w:r>
      <w:r w:rsidR="004A1716" w:rsidRPr="1ECD2B58">
        <w:t>“</w:t>
      </w:r>
      <w:r w:rsidR="009806F6">
        <w:t>open</w:t>
      </w:r>
      <w:r w:rsidR="004A1716">
        <w:t xml:space="preserve">ed this </w:t>
      </w:r>
      <w:r w:rsidR="006B2634">
        <w:t>rulemaking docket to consider the issue of whether aggregated whole-building data could be released to building owners where a building has four or more meters and also sought comment on any feasibility or logistical issues associated with aggregating and releasing such data to building owners[.]”</w:t>
      </w:r>
      <w:r w:rsidR="006B2634">
        <w:rPr>
          <w:rStyle w:val="FootnoteReference"/>
        </w:rPr>
        <w:footnoteReference w:id="1"/>
      </w:r>
    </w:p>
    <w:p w14:paraId="494C243C" w14:textId="6FD24D0A" w:rsidR="006B2634" w:rsidRDefault="00071373" w:rsidP="00623A97">
      <w:pPr>
        <w:spacing w:line="480" w:lineRule="auto"/>
        <w:ind w:firstLine="720"/>
        <w:jc w:val="both"/>
      </w:pPr>
      <w:r>
        <w:t>Recognizing that i</w:t>
      </w:r>
      <w:r w:rsidR="006B2634">
        <w:t xml:space="preserve">n August </w:t>
      </w:r>
      <w:r w:rsidR="00650EB9">
        <w:t>2018</w:t>
      </w:r>
      <w:r w:rsidR="006B2634">
        <w:t xml:space="preserve">, ENO and other stakeholders provided </w:t>
      </w:r>
      <w:r w:rsidR="000B1A01">
        <w:t xml:space="preserve">comments </w:t>
      </w:r>
      <w:r w:rsidR="004A1716">
        <w:t>discussing</w:t>
      </w:r>
      <w:r w:rsidR="0088210A" w:rsidRPr="1ECD2B58">
        <w:t xml:space="preserve"> </w:t>
      </w:r>
      <w:r w:rsidR="00650EB9">
        <w:t xml:space="preserve">“(1) </w:t>
      </w:r>
      <w:r w:rsidR="0088210A">
        <w:t>whether and under</w:t>
      </w:r>
      <w:r w:rsidR="00F8382A" w:rsidRPr="1ECD2B58">
        <w:t xml:space="preserve"> </w:t>
      </w:r>
      <w:r w:rsidR="0088210A">
        <w:t xml:space="preserve">what conditions such aggregated whole-building data could be </w:t>
      </w:r>
      <w:r w:rsidR="0088210A">
        <w:lastRenderedPageBreak/>
        <w:t xml:space="preserve">released </w:t>
      </w:r>
      <w:r w:rsidR="00650EB9">
        <w:t>while continuing to protect customers’ privacy; (2) matching of meters to the correct building; and (3) the possible automation of the aggregation of data and the transmission of data to building owners</w:t>
      </w:r>
      <w:r w:rsidR="000B1A01" w:rsidRPr="1ECD2B58">
        <w:t>.</w:t>
      </w:r>
      <w:r w:rsidR="004D563C" w:rsidRPr="1ECD2B58">
        <w:t>”</w:t>
      </w:r>
      <w:r w:rsidR="004D563C">
        <w:rPr>
          <w:rStyle w:val="FootnoteReference"/>
        </w:rPr>
        <w:footnoteReference w:id="2"/>
      </w:r>
      <w:r w:rsidR="00FE7A31">
        <w:t xml:space="preserve">  On October 18, 2018,</w:t>
      </w:r>
      <w:r w:rsidR="000B1A01">
        <w:t xml:space="preserve"> the Council’s Advisors (“Advisors”) </w:t>
      </w:r>
      <w:r w:rsidR="00B87781">
        <w:t xml:space="preserve">submitted comments in response to the stakeholder comments.  </w:t>
      </w:r>
    </w:p>
    <w:p w14:paraId="494C243F" w14:textId="77777777" w:rsidR="002D2885" w:rsidRDefault="002E22E9" w:rsidP="00C76499">
      <w:pPr>
        <w:spacing w:line="480" w:lineRule="auto"/>
        <w:ind w:firstLine="720"/>
        <w:jc w:val="both"/>
      </w:pPr>
      <w:r>
        <w:t>Recognizing that s</w:t>
      </w:r>
      <w:r w:rsidR="00730E11">
        <w:t>ubsequent to the filing of the stakeholders’ comments, the Advisors submitted comments in response to stakeholder comments from August 24</w:t>
      </w:r>
      <w:r w:rsidR="00730E11" w:rsidRPr="00C33F57">
        <w:t>th</w:t>
      </w:r>
      <w:r w:rsidR="00730E11">
        <w:t xml:space="preserve">.  In summary, the Advisors </w:t>
      </w:r>
      <w:r w:rsidR="00F839AE">
        <w:t xml:space="preserve">accepted ENO’s long term solution for providing aggregated whole-building data.  In addition, the Advisors suggested that the parties continue to work on an interim solution for providing the data. </w:t>
      </w:r>
      <w:r w:rsidR="00FB3216">
        <w:t xml:space="preserve">To that end, the Advisors suggested that the parties initiate discussions to come to an agreed upon interim solution.  </w:t>
      </w:r>
      <w:r>
        <w:t>The Advisors</w:t>
      </w:r>
      <w:r w:rsidR="00FB5340">
        <w:t xml:space="preserve"> reached out to the par</w:t>
      </w:r>
      <w:r w:rsidR="00163107">
        <w:t>ties to set up conference calls with hopes of finding an interim solution.</w:t>
      </w:r>
      <w:r w:rsidR="00BC47CC">
        <w:t xml:space="preserve">  The Advisors hosted the two conference calls summarized below prior to submitting their December 20, 2018 comments.</w:t>
      </w:r>
    </w:p>
    <w:p w14:paraId="494C2449" w14:textId="6DB4FD1E" w:rsidR="00C33F57" w:rsidRPr="002D2885" w:rsidRDefault="00E5077A" w:rsidP="00C76499">
      <w:pPr>
        <w:spacing w:line="480" w:lineRule="auto"/>
        <w:ind w:firstLine="720"/>
        <w:jc w:val="both"/>
      </w:pPr>
      <w:r>
        <w:t>On November 15, 2018,</w:t>
      </w:r>
      <w:r w:rsidR="00F8382A">
        <w:t xml:space="preserve"> the parties met to discuss interim solutions for providing aggregated data to building owners.  </w:t>
      </w:r>
      <w:r w:rsidR="003D1B75">
        <w:t xml:space="preserve">The discussion on this call surrounded </w:t>
      </w:r>
      <w:r w:rsidR="002562A6">
        <w:t xml:space="preserve">the expected number and timing of buildings needing the aggregated data during the interim </w:t>
      </w:r>
      <w:r w:rsidR="00970101">
        <w:t xml:space="preserve">period prior to the implementation of AMI meters. </w:t>
      </w:r>
      <w:r w:rsidR="00821C40">
        <w:t>During this time, ENO disclosed its ability to handle up to an initial estimate of 40 buildings during the interim period.  Other parties disclosed an interest for up to 600 buildings to have the data available.</w:t>
      </w:r>
    </w:p>
    <w:p w14:paraId="494C244A" w14:textId="39A81F45" w:rsidR="006F59B7" w:rsidRDefault="00691D32" w:rsidP="21E3D166">
      <w:pPr>
        <w:spacing w:line="480" w:lineRule="auto"/>
        <w:ind w:firstLine="720"/>
        <w:jc w:val="both"/>
      </w:pPr>
      <w:r>
        <w:t>Recognizing that o</w:t>
      </w:r>
      <w:r w:rsidR="00AC0496">
        <w:t>n December 20, 2018, the Council</w:t>
      </w:r>
      <w:r w:rsidR="004D563C">
        <w:t>, considering the comments by the parties,</w:t>
      </w:r>
      <w:r w:rsidR="00AC0496">
        <w:t xml:space="preserve"> passed Resolution </w:t>
      </w:r>
      <w:r w:rsidR="004D563C">
        <w:t xml:space="preserve">No. </w:t>
      </w:r>
      <w:r w:rsidR="00AC0496">
        <w:t xml:space="preserve">R-18-539 </w:t>
      </w:r>
      <w:r w:rsidR="005E1675">
        <w:t>setting forth several requirements of all parties</w:t>
      </w:r>
      <w:r w:rsidR="005E1675" w:rsidRPr="21E3D166">
        <w:t xml:space="preserve">.  </w:t>
      </w:r>
      <w:r w:rsidR="005E1675">
        <w:t xml:space="preserve">In response to Resolution R-18-539, </w:t>
      </w:r>
      <w:r w:rsidR="006F59B7">
        <w:t>the Alliance and ENO submitted comments into the docket.  In addition, two more conference calls were held.</w:t>
      </w:r>
    </w:p>
    <w:p w14:paraId="5267D5D6" w14:textId="642334C8" w:rsidR="21E3D166" w:rsidRPr="00C76499" w:rsidRDefault="21E3D166">
      <w:pPr>
        <w:rPr>
          <w:b/>
          <w:bCs/>
        </w:rPr>
      </w:pPr>
    </w:p>
    <w:p w14:paraId="494C244B" w14:textId="77777777" w:rsidR="006F59B7" w:rsidRPr="00C76499" w:rsidRDefault="006F59B7" w:rsidP="00C76499">
      <w:pPr>
        <w:rPr>
          <w:b/>
          <w:bCs/>
        </w:rPr>
      </w:pPr>
      <w:r w:rsidRPr="00C76499">
        <w:rPr>
          <w:b/>
          <w:bCs/>
        </w:rPr>
        <w:lastRenderedPageBreak/>
        <w:t>Comments from the Alliance</w:t>
      </w:r>
      <w:r w:rsidR="005E1675" w:rsidRPr="00C76499">
        <w:rPr>
          <w:b/>
          <w:bCs/>
        </w:rPr>
        <w:t xml:space="preserve"> </w:t>
      </w:r>
    </w:p>
    <w:p w14:paraId="494C244C" w14:textId="77777777" w:rsidR="006B5C73" w:rsidRPr="00C76499" w:rsidRDefault="006B5C73" w:rsidP="00C76499">
      <w:pPr>
        <w:rPr>
          <w:b/>
        </w:rPr>
      </w:pPr>
    </w:p>
    <w:p w14:paraId="494C244D" w14:textId="5E5FFB7C" w:rsidR="008448CC" w:rsidRDefault="00EF59AC" w:rsidP="02CC0A10">
      <w:pPr>
        <w:spacing w:line="480" w:lineRule="auto"/>
        <w:ind w:firstLine="720"/>
        <w:jc w:val="both"/>
      </w:pPr>
      <w:r>
        <w:t>On January 22, 2019</w:t>
      </w:r>
      <w:r w:rsidR="006F59B7">
        <w:t>, the Alliance filed com</w:t>
      </w:r>
      <w:r w:rsidR="00FF6B1D">
        <w:t>ments into the docket.  In its</w:t>
      </w:r>
      <w:r w:rsidR="006F59B7">
        <w:t xml:space="preserve"> comments</w:t>
      </w:r>
      <w:r w:rsidR="00FF6B1D" w:rsidRPr="74EA6B50">
        <w:t>,</w:t>
      </w:r>
      <w:r w:rsidR="006F59B7">
        <w:t xml:space="preserve"> the Alliance advocated the benefits o</w:t>
      </w:r>
      <w:r w:rsidR="009C62DA">
        <w:t xml:space="preserve">f providing a solution for </w:t>
      </w:r>
      <w:r w:rsidR="00FF6B1D">
        <w:t xml:space="preserve">the </w:t>
      </w:r>
      <w:r w:rsidR="009C62DA">
        <w:t>approximately</w:t>
      </w:r>
      <w:r w:rsidR="006F59B7">
        <w:t xml:space="preserve"> 600 buildings</w:t>
      </w:r>
      <w:r w:rsidR="00FF6B1D">
        <w:t xml:space="preserve"> in New Orleans that are above 50,000 sq. ft. in size</w:t>
      </w:r>
      <w:r w:rsidR="006F59B7">
        <w:t>.  The Alliance cited a similar project in Atlanta</w:t>
      </w:r>
      <w:r w:rsidR="006F59B7" w:rsidRPr="74EA6B50">
        <w:t xml:space="preserve"> </w:t>
      </w:r>
      <w:r w:rsidR="00AD41CD">
        <w:t>that</w:t>
      </w:r>
      <w:r w:rsidR="009C62DA">
        <w:t xml:space="preserve">, if instituted in New Orleans, could </w:t>
      </w:r>
      <w:r w:rsidR="00FF6B1D">
        <w:t>save</w:t>
      </w:r>
      <w:r w:rsidR="009C62DA">
        <w:t xml:space="preserve"> between 32,000,000 kWh </w:t>
      </w:r>
      <w:r w:rsidR="00FF6B1D">
        <w:t>and</w:t>
      </w:r>
      <w:r w:rsidR="00AD41CD">
        <w:t xml:space="preserve"> 58,000,000 kWh</w:t>
      </w:r>
      <w:r w:rsidR="00FF6B1D" w:rsidRPr="74EA6B50">
        <w:t>,</w:t>
      </w:r>
      <w:r w:rsidR="00AD41CD">
        <w:t xml:space="preserve"> and between $3,000,000 and $5,000,000 annually for 600 buildings.  Based upon these figures, the Alliance supported</w:t>
      </w:r>
      <w:r w:rsidR="00AD41CD" w:rsidRPr="74EA6B50">
        <w:t xml:space="preserve"> </w:t>
      </w:r>
      <w:r w:rsidR="00AD41CD">
        <w:t xml:space="preserve">finding an interim solution for up to 600 buildings. </w:t>
      </w:r>
    </w:p>
    <w:p w14:paraId="20940D75" w14:textId="77777777" w:rsidR="00843E84" w:rsidRDefault="00843E84" w:rsidP="02CC0A10">
      <w:pPr>
        <w:spacing w:line="480" w:lineRule="auto"/>
        <w:ind w:firstLine="720"/>
        <w:jc w:val="both"/>
      </w:pPr>
    </w:p>
    <w:p w14:paraId="451884BF" w14:textId="76B91CC6" w:rsidR="00711D28" w:rsidRDefault="00711D28" w:rsidP="00711D28">
      <w:pPr>
        <w:rPr>
          <w:b/>
          <w:bCs/>
        </w:rPr>
      </w:pPr>
      <w:r w:rsidRPr="00711D28">
        <w:rPr>
          <w:b/>
          <w:bCs/>
        </w:rPr>
        <w:t>Conference Calls</w:t>
      </w:r>
    </w:p>
    <w:p w14:paraId="2CD4F5F8" w14:textId="77777777" w:rsidR="00711D28" w:rsidRPr="00711D28" w:rsidRDefault="00711D28" w:rsidP="00711D28">
      <w:pPr>
        <w:rPr>
          <w:b/>
          <w:bCs/>
        </w:rPr>
      </w:pPr>
    </w:p>
    <w:p w14:paraId="494C2450" w14:textId="03A1716C" w:rsidR="0019460C" w:rsidRDefault="00EB3796" w:rsidP="536705F9">
      <w:pPr>
        <w:spacing w:line="480" w:lineRule="auto"/>
        <w:ind w:firstLine="720"/>
        <w:jc w:val="both"/>
      </w:pPr>
      <w:r>
        <w:t>On February 1</w:t>
      </w:r>
      <w:r w:rsidR="008448CC">
        <w:t>, 2019,</w:t>
      </w:r>
      <w:r w:rsidRPr="74EA6B50">
        <w:t xml:space="preserve"> </w:t>
      </w:r>
      <w:r>
        <w:t xml:space="preserve">the </w:t>
      </w:r>
      <w:r w:rsidR="00A7058E">
        <w:t>A</w:t>
      </w:r>
      <w:r>
        <w:t xml:space="preserve">dvisors hosted a conference call pursuant to Resolution R-18-539.  On this call, some parties expressed an interest in evaluating the cost of having Green Coast Enterprises (“Green Coast”) handle the aggregation and transmission of the data during the interim period.  </w:t>
      </w:r>
      <w:r w:rsidR="0019460C">
        <w:t>Green Coast</w:t>
      </w:r>
      <w:r w:rsidR="0019460C" w:rsidRPr="74EA6B50">
        <w:t xml:space="preserve">, </w:t>
      </w:r>
      <w:r>
        <w:t>currently a contractor in the Energy Smart program</w:t>
      </w:r>
      <w:r w:rsidR="0019460C">
        <w:t xml:space="preserve">, has been performing benchmarking analysis for a number of years.  </w:t>
      </w:r>
      <w:r>
        <w:t>Based upon this interest, the Advisors requeste</w:t>
      </w:r>
      <w:r w:rsidR="0019460C">
        <w:t>d that ENO meet with Green Coast to ascertain the potential</w:t>
      </w:r>
      <w:r w:rsidR="0019460C" w:rsidRPr="74EA6B50">
        <w:t xml:space="preserve"> </w:t>
      </w:r>
      <w:r w:rsidR="0019460C">
        <w:t>for Green Coast to perform data aggregation and transmission as an interim solution.</w:t>
      </w:r>
    </w:p>
    <w:p w14:paraId="494C2453" w14:textId="3A9BEEFB" w:rsidR="00CF0FF9" w:rsidRDefault="0019460C" w:rsidP="536705F9">
      <w:pPr>
        <w:spacing w:line="480" w:lineRule="auto"/>
        <w:ind w:firstLine="720"/>
        <w:jc w:val="both"/>
      </w:pPr>
      <w:r>
        <w:t xml:space="preserve">On February 15, 2019, the </w:t>
      </w:r>
      <w:r w:rsidR="00A7058E">
        <w:t>A</w:t>
      </w:r>
      <w:r>
        <w:t>dvisors hosted a conference call for the parties to the docket.  On this call, ENO discussed two options that were being considered for providing the aggregated data to building owners.  One option was to have Green Co</w:t>
      </w:r>
      <w:r w:rsidR="00362938">
        <w:t>ast</w:t>
      </w:r>
      <w:r w:rsidR="00362938" w:rsidRPr="21E3D166">
        <w:t xml:space="preserve"> </w:t>
      </w:r>
      <w:r>
        <w:t>handle the aggregation of data in a turnkey format for building owners</w:t>
      </w:r>
      <w:r w:rsidR="00362938">
        <w:t xml:space="preserve"> as mentioned on the previous call</w:t>
      </w:r>
      <w:r>
        <w:t>. The other option was for ENO to create an automated solution that would handle many of the tasks related to verifying owners and meters, and aggregating and transmitting data.</w:t>
      </w:r>
      <w:r w:rsidR="00362938">
        <w:t xml:space="preserve">  In addition, the idea of having Green </w:t>
      </w:r>
      <w:r w:rsidR="00362938">
        <w:lastRenderedPageBreak/>
        <w:t>Coast act as an Energy Advisor to building owners that request the data for benchmarking purposes</w:t>
      </w:r>
      <w:r w:rsidR="00C11F96">
        <w:t xml:space="preserve"> was explored</w:t>
      </w:r>
      <w:r w:rsidR="00362938" w:rsidRPr="21E3D166">
        <w:t>.</w:t>
      </w:r>
      <w:r w:rsidRPr="21E3D166">
        <w:t xml:space="preserve"> </w:t>
      </w:r>
    </w:p>
    <w:p w14:paraId="12CC39BC" w14:textId="3E1380A0" w:rsidR="21E3D166" w:rsidRPr="00C76499" w:rsidRDefault="21E3D166">
      <w:pPr>
        <w:rPr>
          <w:b/>
          <w:bCs/>
        </w:rPr>
      </w:pPr>
    </w:p>
    <w:p w14:paraId="50A986C5" w14:textId="54794B64" w:rsidR="74EA6B50" w:rsidRPr="00C76499" w:rsidRDefault="74EA6B50">
      <w:pPr>
        <w:rPr>
          <w:b/>
          <w:bCs/>
        </w:rPr>
      </w:pPr>
    </w:p>
    <w:p w14:paraId="494C2454" w14:textId="77777777" w:rsidR="00CF0FF9" w:rsidRPr="00C76499" w:rsidRDefault="00CF0FF9" w:rsidP="00C76499">
      <w:pPr>
        <w:rPr>
          <w:b/>
          <w:bCs/>
        </w:rPr>
      </w:pPr>
      <w:r w:rsidRPr="00C76499">
        <w:rPr>
          <w:b/>
          <w:bCs/>
        </w:rPr>
        <w:t>Green Coast Option</w:t>
      </w:r>
    </w:p>
    <w:p w14:paraId="3C6CA474" w14:textId="77777777" w:rsidR="00AC2977" w:rsidRPr="00C76499" w:rsidRDefault="00AC2977" w:rsidP="00C76499">
      <w:pPr>
        <w:rPr>
          <w:b/>
        </w:rPr>
      </w:pPr>
    </w:p>
    <w:p w14:paraId="494C2455" w14:textId="2D9A2ADF" w:rsidR="000F4E4E" w:rsidRDefault="000F4E4E">
      <w:pPr>
        <w:spacing w:line="480" w:lineRule="auto"/>
        <w:ind w:firstLine="720"/>
        <w:jc w:val="both"/>
      </w:pPr>
      <w:r>
        <w:t>Green Coast proposed to work with Aptim</w:t>
      </w:r>
      <w:r w:rsidR="009525AF">
        <w:t xml:space="preserve"> Environmental</w:t>
      </w:r>
      <w:r>
        <w:t xml:space="preserve"> to perform the following tasks:</w:t>
      </w:r>
    </w:p>
    <w:p w14:paraId="494C2456" w14:textId="77777777" w:rsidR="000F4E4E" w:rsidRPr="00D55E1F" w:rsidRDefault="000F4E4E" w:rsidP="536705F9">
      <w:pPr>
        <w:rPr>
          <w:szCs w:val="24"/>
        </w:rPr>
      </w:pPr>
      <w:r w:rsidRPr="00C76499">
        <w:t>Task 1: Engagement &amp; Initial Account Set-Up</w:t>
      </w:r>
    </w:p>
    <w:p w14:paraId="494C2457" w14:textId="5FB47818"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Work with building manager/owner to determine the sq.</w:t>
      </w:r>
      <w:r w:rsidR="009525AF">
        <w:rPr>
          <w:rFonts w:ascii="Times New Roman" w:hAnsi="Times New Roman" w:cs="Times New Roman"/>
          <w:sz w:val="24"/>
          <w:szCs w:val="24"/>
        </w:rPr>
        <w:t xml:space="preserve"> </w:t>
      </w:r>
      <w:r w:rsidRPr="00C76499">
        <w:rPr>
          <w:rFonts w:ascii="Times New Roman" w:hAnsi="Times New Roman" w:cs="Times New Roman"/>
          <w:sz w:val="24"/>
          <w:szCs w:val="24"/>
        </w:rPr>
        <w:t>ft. and usage breakdown of the facility</w:t>
      </w:r>
    </w:p>
    <w:p w14:paraId="494C2458"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Create a building profile in Energy Smart Portfolio Manager account</w:t>
      </w:r>
    </w:p>
    <w:p w14:paraId="494C2459" w14:textId="77777777" w:rsidR="000F4E4E" w:rsidRPr="00D55E1F" w:rsidRDefault="000F4E4E" w:rsidP="536705F9">
      <w:pPr>
        <w:rPr>
          <w:szCs w:val="24"/>
        </w:rPr>
      </w:pPr>
      <w:r w:rsidRPr="00C76499">
        <w:t>Task 2: Building Energy Benchmarking</w:t>
      </w:r>
    </w:p>
    <w:p w14:paraId="494C245A"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Retrieve monthly billing data from ENO</w:t>
      </w:r>
    </w:p>
    <w:p w14:paraId="494C245B"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Organize data and ensure it is anonymized prior to upload</w:t>
      </w:r>
    </w:p>
    <w:p w14:paraId="494C245C"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Upload data to master Energy Smart Portfolio Manager account</w:t>
      </w:r>
    </w:p>
    <w:p w14:paraId="494C245D"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Share property level data at view level in Portfolio Manager to building owner and City of New Orleans Benchmarking account.</w:t>
      </w:r>
    </w:p>
    <w:p w14:paraId="494C245E" w14:textId="77777777" w:rsidR="000F4E4E" w:rsidRPr="00D55E1F" w:rsidRDefault="000F4E4E" w:rsidP="536705F9">
      <w:pPr>
        <w:rPr>
          <w:szCs w:val="24"/>
        </w:rPr>
      </w:pPr>
      <w:r w:rsidRPr="00C76499">
        <w:t>Task 3: Building Performance Analysis &amp; Reporting</w:t>
      </w:r>
    </w:p>
    <w:p w14:paraId="494C245F"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 xml:space="preserve">Produce final benchmarking report </w:t>
      </w:r>
    </w:p>
    <w:p w14:paraId="494C2460" w14:textId="77777777" w:rsidR="000F4E4E" w:rsidRPr="00C76499" w:rsidRDefault="000F4E4E" w:rsidP="000F4E4E">
      <w:pPr>
        <w:pStyle w:val="ListParagraph"/>
        <w:numPr>
          <w:ilvl w:val="0"/>
          <w:numId w:val="41"/>
        </w:numPr>
        <w:spacing w:after="160" w:line="256" w:lineRule="auto"/>
        <w:rPr>
          <w:rFonts w:ascii="Times New Roman" w:hAnsi="Times New Roman" w:cs="Times New Roman"/>
          <w:sz w:val="24"/>
          <w:szCs w:val="24"/>
        </w:rPr>
      </w:pPr>
      <w:r w:rsidRPr="00C76499">
        <w:rPr>
          <w:rFonts w:ascii="Times New Roman" w:hAnsi="Times New Roman" w:cs="Times New Roman"/>
          <w:sz w:val="24"/>
          <w:szCs w:val="24"/>
        </w:rPr>
        <w:t>Educate customer on Energy Smart Program and incentive offerings</w:t>
      </w:r>
    </w:p>
    <w:p w14:paraId="494C2461" w14:textId="77777777" w:rsidR="000F4E4E" w:rsidRPr="00C76499" w:rsidRDefault="000F4E4E" w:rsidP="536705F9">
      <w:pPr>
        <w:rPr>
          <w:szCs w:val="24"/>
        </w:rPr>
      </w:pPr>
      <w:r w:rsidRPr="00C76499">
        <w:t>Task 4: Opportunity Identification</w:t>
      </w:r>
    </w:p>
    <w:p w14:paraId="494C2462" w14:textId="77777777" w:rsidR="000F4E4E" w:rsidRPr="00C76499" w:rsidRDefault="000F4E4E" w:rsidP="000F4E4E">
      <w:pPr>
        <w:pStyle w:val="ListParagraph"/>
        <w:numPr>
          <w:ilvl w:val="0"/>
          <w:numId w:val="42"/>
        </w:numPr>
        <w:spacing w:after="0" w:line="256" w:lineRule="auto"/>
        <w:rPr>
          <w:rFonts w:ascii="Times New Roman" w:hAnsi="Times New Roman" w:cs="Times New Roman"/>
          <w:sz w:val="24"/>
          <w:szCs w:val="24"/>
        </w:rPr>
      </w:pPr>
      <w:r w:rsidRPr="00C76499">
        <w:rPr>
          <w:rFonts w:ascii="Times New Roman" w:hAnsi="Times New Roman" w:cs="Times New Roman"/>
          <w:sz w:val="24"/>
          <w:szCs w:val="24"/>
        </w:rPr>
        <w:t>Assist customer with identifying energy efficiency savings opportunities</w:t>
      </w:r>
    </w:p>
    <w:p w14:paraId="494C2463" w14:textId="77777777" w:rsidR="000F4E4E" w:rsidRPr="00C76499" w:rsidRDefault="000F4E4E" w:rsidP="000F4E4E">
      <w:pPr>
        <w:pStyle w:val="ListParagraph"/>
        <w:numPr>
          <w:ilvl w:val="0"/>
          <w:numId w:val="42"/>
        </w:numPr>
        <w:spacing w:after="0" w:line="256" w:lineRule="auto"/>
        <w:rPr>
          <w:rFonts w:ascii="Times New Roman" w:hAnsi="Times New Roman" w:cs="Times New Roman"/>
          <w:sz w:val="24"/>
          <w:szCs w:val="24"/>
        </w:rPr>
      </w:pPr>
      <w:r w:rsidRPr="00C76499">
        <w:rPr>
          <w:rFonts w:ascii="Times New Roman" w:hAnsi="Times New Roman" w:cs="Times New Roman"/>
          <w:sz w:val="24"/>
          <w:szCs w:val="24"/>
        </w:rPr>
        <w:t>Prioritize savings potential and measure recommendations</w:t>
      </w:r>
    </w:p>
    <w:p w14:paraId="494C2464" w14:textId="77777777" w:rsidR="000F4E4E" w:rsidRPr="00C76499" w:rsidRDefault="000F4E4E" w:rsidP="000F4E4E">
      <w:pPr>
        <w:rPr>
          <w:szCs w:val="24"/>
        </w:rPr>
      </w:pPr>
    </w:p>
    <w:p w14:paraId="494C2465" w14:textId="77777777" w:rsidR="000F4E4E" w:rsidRPr="00C76499" w:rsidRDefault="000F4E4E" w:rsidP="536705F9">
      <w:pPr>
        <w:rPr>
          <w:szCs w:val="24"/>
        </w:rPr>
      </w:pPr>
      <w:r w:rsidRPr="00C76499">
        <w:t>Task 5: Energy Smart Application Support</w:t>
      </w:r>
    </w:p>
    <w:p w14:paraId="494C2466" w14:textId="77777777" w:rsidR="000F4E4E" w:rsidRPr="00C76499" w:rsidRDefault="000F4E4E" w:rsidP="000F4E4E">
      <w:pPr>
        <w:pStyle w:val="ListParagraph"/>
        <w:numPr>
          <w:ilvl w:val="0"/>
          <w:numId w:val="43"/>
        </w:numPr>
        <w:spacing w:after="0" w:line="256" w:lineRule="auto"/>
        <w:rPr>
          <w:rFonts w:ascii="Times New Roman" w:hAnsi="Times New Roman" w:cs="Times New Roman"/>
          <w:sz w:val="24"/>
          <w:szCs w:val="24"/>
        </w:rPr>
      </w:pPr>
      <w:r w:rsidRPr="00C76499">
        <w:rPr>
          <w:rFonts w:ascii="Times New Roman" w:hAnsi="Times New Roman" w:cs="Times New Roman"/>
          <w:sz w:val="24"/>
          <w:szCs w:val="24"/>
        </w:rPr>
        <w:t>Assist customer with completing program application and compiling required documentation</w:t>
      </w:r>
    </w:p>
    <w:p w14:paraId="494C2467" w14:textId="77777777" w:rsidR="000F4E4E" w:rsidRPr="00D55E1F" w:rsidRDefault="000F4E4E" w:rsidP="536705F9">
      <w:pPr>
        <w:pStyle w:val="ListParagraph"/>
        <w:numPr>
          <w:ilvl w:val="0"/>
          <w:numId w:val="43"/>
        </w:numPr>
        <w:spacing w:after="0" w:line="256" w:lineRule="auto"/>
      </w:pPr>
      <w:r w:rsidRPr="00C76499">
        <w:rPr>
          <w:rFonts w:ascii="Times New Roman" w:hAnsi="Times New Roman" w:cs="Times New Roman"/>
          <w:sz w:val="24"/>
          <w:szCs w:val="24"/>
        </w:rPr>
        <w:t>Coordinate with trade ally contractor as needed</w:t>
      </w:r>
    </w:p>
    <w:p w14:paraId="7667EDB3" w14:textId="77777777" w:rsidR="00D55E1F" w:rsidRDefault="00D55E1F">
      <w:pPr>
        <w:spacing w:line="480" w:lineRule="auto"/>
        <w:ind w:firstLine="720"/>
        <w:jc w:val="both"/>
      </w:pPr>
    </w:p>
    <w:p w14:paraId="494C2468" w14:textId="0C16DF45" w:rsidR="0019460C" w:rsidRDefault="00D55E1F" w:rsidP="536705F9">
      <w:pPr>
        <w:spacing w:line="480" w:lineRule="auto"/>
        <w:ind w:firstLine="720"/>
        <w:jc w:val="both"/>
      </w:pPr>
      <w:r>
        <w:t>Indicative c</w:t>
      </w:r>
      <w:r w:rsidR="005C6723">
        <w:t xml:space="preserve">ost estimates </w:t>
      </w:r>
      <w:r>
        <w:t>for the above tasks are listed in the table below</w:t>
      </w:r>
      <w:r w:rsidR="005C6723">
        <w:t xml:space="preserve">. </w:t>
      </w:r>
      <w:r w:rsidR="00362938">
        <w:t xml:space="preserve"> </w:t>
      </w:r>
    </w:p>
    <w:tbl>
      <w:tblPr>
        <w:tblW w:w="8385" w:type="dxa"/>
        <w:tblInd w:w="93" w:type="dxa"/>
        <w:tblLook w:val="04A0" w:firstRow="1" w:lastRow="0" w:firstColumn="1" w:lastColumn="0" w:noHBand="0" w:noVBand="1"/>
      </w:tblPr>
      <w:tblGrid>
        <w:gridCol w:w="2381"/>
        <w:gridCol w:w="1190"/>
        <w:gridCol w:w="2526"/>
        <w:gridCol w:w="2430"/>
      </w:tblGrid>
      <w:tr w:rsidR="005C6723" w:rsidRPr="00B75292" w14:paraId="494C246C" w14:textId="77777777" w:rsidTr="00C76499">
        <w:trPr>
          <w:trHeight w:val="288"/>
        </w:trPr>
        <w:tc>
          <w:tcPr>
            <w:tcW w:w="3429" w:type="dxa"/>
            <w:gridSpan w:val="2"/>
            <w:tcBorders>
              <w:top w:val="single" w:sz="8" w:space="0" w:color="auto"/>
              <w:left w:val="single" w:sz="8" w:space="0" w:color="auto"/>
              <w:bottom w:val="nil"/>
              <w:right w:val="nil"/>
            </w:tcBorders>
            <w:shd w:val="clear" w:color="auto" w:fill="auto"/>
            <w:noWrap/>
            <w:vAlign w:val="bottom"/>
            <w:hideMark/>
          </w:tcPr>
          <w:p w14:paraId="494C2469" w14:textId="77777777" w:rsidR="005C6723" w:rsidRPr="00C76499" w:rsidRDefault="005C6723">
            <w:pPr>
              <w:rPr>
                <w:color w:val="000000"/>
              </w:rPr>
            </w:pPr>
            <w:r w:rsidRPr="00C76499">
              <w:rPr>
                <w:color w:val="000000"/>
              </w:rPr>
              <w:t>With 1 FTE for 9 Months</w:t>
            </w:r>
          </w:p>
        </w:tc>
        <w:tc>
          <w:tcPr>
            <w:tcW w:w="2526" w:type="dxa"/>
            <w:tcBorders>
              <w:top w:val="single" w:sz="8" w:space="0" w:color="auto"/>
              <w:left w:val="nil"/>
              <w:bottom w:val="nil"/>
              <w:right w:val="nil"/>
            </w:tcBorders>
            <w:shd w:val="clear" w:color="auto" w:fill="auto"/>
            <w:noWrap/>
            <w:vAlign w:val="bottom"/>
            <w:hideMark/>
          </w:tcPr>
          <w:p w14:paraId="494C246A" w14:textId="77777777" w:rsidR="005C6723" w:rsidRPr="00C76499" w:rsidRDefault="005C6723">
            <w:pPr>
              <w:rPr>
                <w:color w:val="000000"/>
              </w:rPr>
            </w:pPr>
            <w:r w:rsidRPr="00C76499">
              <w:rPr>
                <w:color w:val="000000"/>
              </w:rPr>
              <w:t> </w:t>
            </w:r>
          </w:p>
        </w:tc>
        <w:tc>
          <w:tcPr>
            <w:tcW w:w="2430" w:type="dxa"/>
            <w:tcBorders>
              <w:top w:val="single" w:sz="8" w:space="0" w:color="auto"/>
              <w:left w:val="nil"/>
              <w:bottom w:val="nil"/>
              <w:right w:val="single" w:sz="8" w:space="0" w:color="auto"/>
            </w:tcBorders>
            <w:shd w:val="clear" w:color="auto" w:fill="auto"/>
            <w:noWrap/>
            <w:vAlign w:val="bottom"/>
            <w:hideMark/>
          </w:tcPr>
          <w:p w14:paraId="494C246B" w14:textId="77777777" w:rsidR="005C6723" w:rsidRPr="00C76499" w:rsidRDefault="005C6723">
            <w:pPr>
              <w:rPr>
                <w:color w:val="000000"/>
              </w:rPr>
            </w:pPr>
            <w:r w:rsidRPr="00C76499">
              <w:rPr>
                <w:color w:val="000000"/>
              </w:rPr>
              <w:t> </w:t>
            </w:r>
          </w:p>
        </w:tc>
      </w:tr>
      <w:tr w:rsidR="005C6723" w:rsidRPr="00B75292" w14:paraId="494C2471" w14:textId="77777777" w:rsidTr="00C76499">
        <w:trPr>
          <w:trHeight w:val="984"/>
        </w:trPr>
        <w:tc>
          <w:tcPr>
            <w:tcW w:w="238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4C246D" w14:textId="77777777" w:rsidR="005C6723" w:rsidRPr="00C76499" w:rsidRDefault="005C6723">
            <w:pPr>
              <w:rPr>
                <w:b/>
                <w:bCs/>
                <w:color w:val="000000"/>
              </w:rPr>
            </w:pPr>
            <w:r w:rsidRPr="00C76499">
              <w:rPr>
                <w:b/>
                <w:bCs/>
                <w:color w:val="000000"/>
              </w:rPr>
              <w:t> </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494C246E" w14:textId="77777777" w:rsidR="005C6723" w:rsidRPr="00C76499" w:rsidRDefault="005C6723">
            <w:pPr>
              <w:rPr>
                <w:b/>
                <w:bCs/>
                <w:color w:val="000000"/>
              </w:rPr>
            </w:pPr>
            <w:r w:rsidRPr="00C76499">
              <w:rPr>
                <w:b/>
                <w:bCs/>
                <w:color w:val="000000"/>
              </w:rPr>
              <w:t>Buildings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494C246F" w14:textId="77777777" w:rsidR="005C6723" w:rsidRPr="00C76499" w:rsidRDefault="005C6723">
            <w:pPr>
              <w:rPr>
                <w:b/>
                <w:bCs/>
                <w:color w:val="000000"/>
              </w:rPr>
            </w:pPr>
            <w:r w:rsidRPr="00C76499">
              <w:rPr>
                <w:b/>
                <w:bCs/>
                <w:color w:val="000000"/>
              </w:rPr>
              <w:t>Cost/ energy smart application</w:t>
            </w:r>
          </w:p>
        </w:tc>
        <w:tc>
          <w:tcPr>
            <w:tcW w:w="2430" w:type="dxa"/>
            <w:tcBorders>
              <w:top w:val="single" w:sz="4" w:space="0" w:color="auto"/>
              <w:left w:val="nil"/>
              <w:bottom w:val="single" w:sz="4" w:space="0" w:color="auto"/>
              <w:right w:val="single" w:sz="8" w:space="0" w:color="auto"/>
            </w:tcBorders>
            <w:shd w:val="clear" w:color="auto" w:fill="auto"/>
            <w:vAlign w:val="center"/>
            <w:hideMark/>
          </w:tcPr>
          <w:p w14:paraId="494C2470" w14:textId="77777777" w:rsidR="005C6723" w:rsidRPr="00C76499" w:rsidRDefault="005C6723">
            <w:pPr>
              <w:rPr>
                <w:b/>
                <w:bCs/>
                <w:color w:val="000000"/>
              </w:rPr>
            </w:pPr>
            <w:r w:rsidRPr="00C76499">
              <w:rPr>
                <w:b/>
                <w:bCs/>
                <w:color w:val="000000"/>
              </w:rPr>
              <w:t>Total Cost</w:t>
            </w:r>
          </w:p>
        </w:tc>
      </w:tr>
      <w:tr w:rsidR="005C6723" w:rsidRPr="00B75292" w14:paraId="494C2476" w14:textId="77777777" w:rsidTr="00C76499">
        <w:trPr>
          <w:trHeight w:val="288"/>
        </w:trPr>
        <w:tc>
          <w:tcPr>
            <w:tcW w:w="2381" w:type="dxa"/>
            <w:tcBorders>
              <w:top w:val="nil"/>
              <w:left w:val="single" w:sz="8" w:space="0" w:color="auto"/>
              <w:bottom w:val="single" w:sz="4" w:space="0" w:color="auto"/>
              <w:right w:val="single" w:sz="4" w:space="0" w:color="auto"/>
            </w:tcBorders>
            <w:shd w:val="clear" w:color="auto" w:fill="auto"/>
            <w:noWrap/>
            <w:vAlign w:val="bottom"/>
            <w:hideMark/>
          </w:tcPr>
          <w:p w14:paraId="494C2472" w14:textId="77777777" w:rsidR="005C6723" w:rsidRPr="00C76499" w:rsidRDefault="005C6723">
            <w:pPr>
              <w:rPr>
                <w:b/>
                <w:bCs/>
                <w:color w:val="000000"/>
              </w:rPr>
            </w:pPr>
            <w:r w:rsidRPr="00C76499">
              <w:rPr>
                <w:b/>
                <w:bCs/>
                <w:color w:val="000000"/>
              </w:rPr>
              <w:t>Total</w:t>
            </w:r>
          </w:p>
        </w:tc>
        <w:tc>
          <w:tcPr>
            <w:tcW w:w="1048" w:type="dxa"/>
            <w:tcBorders>
              <w:top w:val="nil"/>
              <w:left w:val="nil"/>
              <w:bottom w:val="single" w:sz="4" w:space="0" w:color="auto"/>
              <w:right w:val="single" w:sz="4" w:space="0" w:color="auto"/>
            </w:tcBorders>
            <w:shd w:val="clear" w:color="auto" w:fill="auto"/>
            <w:noWrap/>
            <w:vAlign w:val="bottom"/>
            <w:hideMark/>
          </w:tcPr>
          <w:p w14:paraId="494C2473" w14:textId="77777777" w:rsidR="005C6723" w:rsidRPr="00C76499" w:rsidRDefault="005C6723">
            <w:pPr>
              <w:jc w:val="right"/>
              <w:rPr>
                <w:b/>
                <w:bCs/>
                <w:color w:val="000000"/>
              </w:rPr>
            </w:pPr>
            <w:r w:rsidRPr="00C76499">
              <w:rPr>
                <w:b/>
                <w:bCs/>
                <w:color w:val="000000"/>
              </w:rPr>
              <w:t>100</w:t>
            </w:r>
          </w:p>
        </w:tc>
        <w:tc>
          <w:tcPr>
            <w:tcW w:w="2526" w:type="dxa"/>
            <w:tcBorders>
              <w:top w:val="nil"/>
              <w:left w:val="nil"/>
              <w:bottom w:val="single" w:sz="4" w:space="0" w:color="auto"/>
              <w:right w:val="single" w:sz="4" w:space="0" w:color="auto"/>
            </w:tcBorders>
            <w:shd w:val="clear" w:color="auto" w:fill="auto"/>
            <w:noWrap/>
            <w:vAlign w:val="bottom"/>
            <w:hideMark/>
          </w:tcPr>
          <w:p w14:paraId="494C2474" w14:textId="77777777" w:rsidR="005C6723" w:rsidRPr="00C76499" w:rsidRDefault="005C6723">
            <w:pPr>
              <w:rPr>
                <w:b/>
                <w:bCs/>
                <w:color w:val="000000"/>
              </w:rPr>
            </w:pPr>
            <w:r w:rsidRPr="00C76499">
              <w:rPr>
                <w:b/>
                <w:bCs/>
                <w:color w:val="000000"/>
              </w:rPr>
              <w:t xml:space="preserve"> $                         1,366 </w:t>
            </w:r>
          </w:p>
        </w:tc>
        <w:tc>
          <w:tcPr>
            <w:tcW w:w="2430" w:type="dxa"/>
            <w:tcBorders>
              <w:top w:val="nil"/>
              <w:left w:val="nil"/>
              <w:bottom w:val="single" w:sz="4" w:space="0" w:color="auto"/>
              <w:right w:val="single" w:sz="8" w:space="0" w:color="auto"/>
            </w:tcBorders>
            <w:shd w:val="clear" w:color="auto" w:fill="auto"/>
            <w:noWrap/>
            <w:vAlign w:val="bottom"/>
            <w:hideMark/>
          </w:tcPr>
          <w:p w14:paraId="494C2475" w14:textId="77777777" w:rsidR="005C6723" w:rsidRPr="00C76499" w:rsidRDefault="005C6723">
            <w:pPr>
              <w:rPr>
                <w:b/>
                <w:bCs/>
                <w:color w:val="000000"/>
              </w:rPr>
            </w:pPr>
            <w:r w:rsidRPr="00C76499">
              <w:rPr>
                <w:b/>
                <w:bCs/>
                <w:color w:val="000000"/>
              </w:rPr>
              <w:t xml:space="preserve"> $      136,620 </w:t>
            </w:r>
          </w:p>
        </w:tc>
      </w:tr>
      <w:tr w:rsidR="005C6723" w:rsidRPr="00B75292" w14:paraId="494C247B" w14:textId="77777777" w:rsidTr="00C76499">
        <w:trPr>
          <w:trHeight w:val="288"/>
        </w:trPr>
        <w:tc>
          <w:tcPr>
            <w:tcW w:w="2381" w:type="dxa"/>
            <w:tcBorders>
              <w:top w:val="nil"/>
              <w:left w:val="single" w:sz="8" w:space="0" w:color="auto"/>
              <w:bottom w:val="nil"/>
              <w:right w:val="nil"/>
            </w:tcBorders>
            <w:shd w:val="clear" w:color="auto" w:fill="auto"/>
            <w:noWrap/>
            <w:vAlign w:val="bottom"/>
            <w:hideMark/>
          </w:tcPr>
          <w:p w14:paraId="494C2477" w14:textId="77777777" w:rsidR="005C6723" w:rsidRPr="00C76499" w:rsidRDefault="005C6723">
            <w:pPr>
              <w:rPr>
                <w:color w:val="000000"/>
              </w:rPr>
            </w:pPr>
            <w:r w:rsidRPr="00C76499">
              <w:rPr>
                <w:color w:val="000000"/>
              </w:rPr>
              <w:t> </w:t>
            </w:r>
          </w:p>
        </w:tc>
        <w:tc>
          <w:tcPr>
            <w:tcW w:w="1048" w:type="dxa"/>
            <w:tcBorders>
              <w:top w:val="nil"/>
              <w:left w:val="nil"/>
              <w:bottom w:val="nil"/>
              <w:right w:val="nil"/>
            </w:tcBorders>
            <w:shd w:val="clear" w:color="auto" w:fill="auto"/>
            <w:noWrap/>
            <w:vAlign w:val="bottom"/>
            <w:hideMark/>
          </w:tcPr>
          <w:p w14:paraId="494C2478" w14:textId="77777777" w:rsidR="005C6723" w:rsidRPr="00C76499" w:rsidRDefault="005C6723">
            <w:pPr>
              <w:rPr>
                <w:color w:val="000000"/>
              </w:rPr>
            </w:pPr>
          </w:p>
        </w:tc>
        <w:tc>
          <w:tcPr>
            <w:tcW w:w="2526" w:type="dxa"/>
            <w:tcBorders>
              <w:top w:val="nil"/>
              <w:left w:val="nil"/>
              <w:bottom w:val="nil"/>
              <w:right w:val="nil"/>
            </w:tcBorders>
            <w:shd w:val="clear" w:color="auto" w:fill="auto"/>
            <w:noWrap/>
            <w:vAlign w:val="bottom"/>
            <w:hideMark/>
          </w:tcPr>
          <w:p w14:paraId="494C2479" w14:textId="77777777" w:rsidR="005C6723" w:rsidRPr="00C76499" w:rsidRDefault="005C6723">
            <w:pPr>
              <w:rPr>
                <w:color w:val="000000"/>
              </w:rPr>
            </w:pPr>
          </w:p>
        </w:tc>
        <w:tc>
          <w:tcPr>
            <w:tcW w:w="2430" w:type="dxa"/>
            <w:tcBorders>
              <w:top w:val="nil"/>
              <w:left w:val="nil"/>
              <w:bottom w:val="nil"/>
              <w:right w:val="single" w:sz="8" w:space="0" w:color="auto"/>
            </w:tcBorders>
            <w:shd w:val="clear" w:color="auto" w:fill="auto"/>
            <w:noWrap/>
            <w:vAlign w:val="bottom"/>
            <w:hideMark/>
          </w:tcPr>
          <w:p w14:paraId="494C247A" w14:textId="77777777" w:rsidR="005C6723" w:rsidRPr="00C76499" w:rsidRDefault="005C6723">
            <w:pPr>
              <w:rPr>
                <w:color w:val="000000"/>
              </w:rPr>
            </w:pPr>
            <w:r w:rsidRPr="00C76499">
              <w:rPr>
                <w:color w:val="000000"/>
              </w:rPr>
              <w:t> </w:t>
            </w:r>
          </w:p>
        </w:tc>
      </w:tr>
      <w:tr w:rsidR="005C6723" w:rsidRPr="00B75292" w14:paraId="494C2480" w14:textId="77777777" w:rsidTr="00C76499">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247C" w14:textId="77777777" w:rsidR="005C6723" w:rsidRPr="00C76499" w:rsidRDefault="005C6723">
            <w:pPr>
              <w:rPr>
                <w:color w:val="000000"/>
              </w:rPr>
            </w:pPr>
            <w:r w:rsidRPr="00C76499">
              <w:rPr>
                <w:color w:val="000000"/>
              </w:rPr>
              <w:t xml:space="preserve">With 2 FTE in 9 </w:t>
            </w:r>
            <w:r w:rsidRPr="00C76499">
              <w:rPr>
                <w:color w:val="000000"/>
              </w:rPr>
              <w:lastRenderedPageBreak/>
              <w:t>months</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4C247D" w14:textId="77777777" w:rsidR="005C6723" w:rsidRPr="00C76499" w:rsidRDefault="005C6723">
            <w:pPr>
              <w:rPr>
                <w:color w:val="000000"/>
              </w:rPr>
            </w:pPr>
            <w:r w:rsidRPr="00C76499">
              <w:rPr>
                <w:color w:val="000000"/>
              </w:rPr>
              <w:lastRenderedPageBreak/>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494C247E" w14:textId="77777777" w:rsidR="005C6723" w:rsidRPr="00C76499" w:rsidRDefault="005C6723">
            <w:pPr>
              <w:rPr>
                <w:color w:val="000000"/>
              </w:rPr>
            </w:pPr>
            <w:r w:rsidRPr="00C76499">
              <w:rPr>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4C247F" w14:textId="77777777" w:rsidR="005C6723" w:rsidRPr="00C76499" w:rsidRDefault="005C6723">
            <w:pPr>
              <w:rPr>
                <w:color w:val="000000"/>
              </w:rPr>
            </w:pPr>
            <w:r w:rsidRPr="00C76499">
              <w:rPr>
                <w:color w:val="000000"/>
              </w:rPr>
              <w:t> </w:t>
            </w:r>
          </w:p>
        </w:tc>
      </w:tr>
      <w:tr w:rsidR="005C6723" w:rsidRPr="00B75292" w14:paraId="494C2485" w14:textId="77777777" w:rsidTr="00C76499">
        <w:trPr>
          <w:trHeight w:val="288"/>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14:paraId="494C2481" w14:textId="77777777" w:rsidR="005C6723" w:rsidRPr="00C76499" w:rsidRDefault="005C6723">
            <w:pPr>
              <w:rPr>
                <w:b/>
                <w:bCs/>
                <w:color w:val="000000"/>
              </w:rPr>
            </w:pPr>
            <w:r w:rsidRPr="00C76499">
              <w:rPr>
                <w:b/>
                <w:bCs/>
                <w:color w:val="000000"/>
              </w:rPr>
              <w:t>Total</w:t>
            </w:r>
          </w:p>
        </w:tc>
        <w:tc>
          <w:tcPr>
            <w:tcW w:w="1048" w:type="dxa"/>
            <w:tcBorders>
              <w:top w:val="nil"/>
              <w:left w:val="nil"/>
              <w:bottom w:val="single" w:sz="4" w:space="0" w:color="auto"/>
              <w:right w:val="single" w:sz="4" w:space="0" w:color="auto"/>
            </w:tcBorders>
            <w:shd w:val="clear" w:color="auto" w:fill="auto"/>
            <w:noWrap/>
            <w:vAlign w:val="bottom"/>
            <w:hideMark/>
          </w:tcPr>
          <w:p w14:paraId="494C2482" w14:textId="77777777" w:rsidR="005C6723" w:rsidRPr="00C76499" w:rsidRDefault="005C6723">
            <w:pPr>
              <w:jc w:val="right"/>
              <w:rPr>
                <w:b/>
                <w:bCs/>
                <w:color w:val="000000"/>
              </w:rPr>
            </w:pPr>
            <w:r w:rsidRPr="00C76499">
              <w:rPr>
                <w:b/>
                <w:bCs/>
                <w:color w:val="000000"/>
              </w:rPr>
              <w:t>300</w:t>
            </w:r>
          </w:p>
        </w:tc>
        <w:tc>
          <w:tcPr>
            <w:tcW w:w="2526" w:type="dxa"/>
            <w:tcBorders>
              <w:top w:val="nil"/>
              <w:left w:val="nil"/>
              <w:bottom w:val="single" w:sz="4" w:space="0" w:color="auto"/>
              <w:right w:val="single" w:sz="4" w:space="0" w:color="auto"/>
            </w:tcBorders>
            <w:shd w:val="clear" w:color="auto" w:fill="auto"/>
            <w:noWrap/>
            <w:vAlign w:val="bottom"/>
            <w:hideMark/>
          </w:tcPr>
          <w:p w14:paraId="494C2483" w14:textId="77777777" w:rsidR="005C6723" w:rsidRPr="00C76499" w:rsidRDefault="005C6723">
            <w:pPr>
              <w:rPr>
                <w:color w:val="000000"/>
              </w:rPr>
            </w:pPr>
            <w:r w:rsidRPr="00C76499">
              <w:rPr>
                <w:color w:val="000000"/>
              </w:rPr>
              <w:t xml:space="preserve"> $                          3,470 </w:t>
            </w:r>
          </w:p>
        </w:tc>
        <w:tc>
          <w:tcPr>
            <w:tcW w:w="2430" w:type="dxa"/>
            <w:tcBorders>
              <w:top w:val="nil"/>
              <w:left w:val="nil"/>
              <w:bottom w:val="single" w:sz="4" w:space="0" w:color="auto"/>
              <w:right w:val="single" w:sz="4" w:space="0" w:color="auto"/>
            </w:tcBorders>
            <w:shd w:val="clear" w:color="auto" w:fill="auto"/>
            <w:noWrap/>
            <w:vAlign w:val="bottom"/>
            <w:hideMark/>
          </w:tcPr>
          <w:p w14:paraId="494C2484" w14:textId="77777777" w:rsidR="005C6723" w:rsidRPr="00C76499" w:rsidRDefault="005C6723">
            <w:pPr>
              <w:rPr>
                <w:b/>
                <w:bCs/>
                <w:color w:val="000000"/>
              </w:rPr>
            </w:pPr>
            <w:r w:rsidRPr="00C76499">
              <w:rPr>
                <w:b/>
                <w:bCs/>
                <w:color w:val="000000"/>
              </w:rPr>
              <w:t xml:space="preserve"> $      320,625 </w:t>
            </w:r>
          </w:p>
        </w:tc>
      </w:tr>
      <w:tr w:rsidR="005C6723" w:rsidRPr="00B75292" w14:paraId="494C248A" w14:textId="77777777" w:rsidTr="00C76499">
        <w:trPr>
          <w:trHeight w:val="288"/>
        </w:trPr>
        <w:tc>
          <w:tcPr>
            <w:tcW w:w="2381" w:type="dxa"/>
            <w:tcBorders>
              <w:top w:val="nil"/>
              <w:left w:val="single" w:sz="8" w:space="0" w:color="auto"/>
              <w:bottom w:val="nil"/>
              <w:right w:val="nil"/>
            </w:tcBorders>
            <w:shd w:val="clear" w:color="auto" w:fill="auto"/>
            <w:noWrap/>
            <w:vAlign w:val="bottom"/>
            <w:hideMark/>
          </w:tcPr>
          <w:p w14:paraId="494C2486" w14:textId="77777777" w:rsidR="005C6723" w:rsidRPr="00C76499" w:rsidRDefault="005C6723">
            <w:pPr>
              <w:rPr>
                <w:color w:val="000000"/>
              </w:rPr>
            </w:pPr>
            <w:r w:rsidRPr="00C76499">
              <w:rPr>
                <w:color w:val="000000"/>
              </w:rPr>
              <w:t> </w:t>
            </w:r>
          </w:p>
        </w:tc>
        <w:tc>
          <w:tcPr>
            <w:tcW w:w="1048" w:type="dxa"/>
            <w:tcBorders>
              <w:top w:val="nil"/>
              <w:left w:val="nil"/>
              <w:bottom w:val="nil"/>
              <w:right w:val="nil"/>
            </w:tcBorders>
            <w:shd w:val="clear" w:color="auto" w:fill="auto"/>
            <w:noWrap/>
            <w:vAlign w:val="bottom"/>
            <w:hideMark/>
          </w:tcPr>
          <w:p w14:paraId="494C2487" w14:textId="77777777" w:rsidR="005C6723" w:rsidRPr="00C76499" w:rsidRDefault="005C6723">
            <w:pPr>
              <w:rPr>
                <w:color w:val="000000"/>
              </w:rPr>
            </w:pPr>
          </w:p>
        </w:tc>
        <w:tc>
          <w:tcPr>
            <w:tcW w:w="2526" w:type="dxa"/>
            <w:tcBorders>
              <w:top w:val="nil"/>
              <w:left w:val="nil"/>
              <w:bottom w:val="nil"/>
              <w:right w:val="nil"/>
            </w:tcBorders>
            <w:shd w:val="clear" w:color="auto" w:fill="auto"/>
            <w:noWrap/>
            <w:vAlign w:val="bottom"/>
            <w:hideMark/>
          </w:tcPr>
          <w:p w14:paraId="494C2488" w14:textId="77777777" w:rsidR="005C6723" w:rsidRPr="00C76499" w:rsidRDefault="005C6723">
            <w:pPr>
              <w:rPr>
                <w:color w:val="000000"/>
              </w:rPr>
            </w:pPr>
          </w:p>
        </w:tc>
        <w:tc>
          <w:tcPr>
            <w:tcW w:w="2430" w:type="dxa"/>
            <w:tcBorders>
              <w:top w:val="nil"/>
              <w:left w:val="nil"/>
              <w:bottom w:val="nil"/>
              <w:right w:val="single" w:sz="8" w:space="0" w:color="auto"/>
            </w:tcBorders>
            <w:shd w:val="clear" w:color="auto" w:fill="auto"/>
            <w:noWrap/>
            <w:vAlign w:val="bottom"/>
            <w:hideMark/>
          </w:tcPr>
          <w:p w14:paraId="494C2489" w14:textId="77777777" w:rsidR="005C6723" w:rsidRPr="00C76499" w:rsidRDefault="005C6723">
            <w:pPr>
              <w:rPr>
                <w:color w:val="000000"/>
              </w:rPr>
            </w:pPr>
            <w:r w:rsidRPr="00C76499">
              <w:rPr>
                <w:color w:val="000000"/>
              </w:rPr>
              <w:t> </w:t>
            </w:r>
          </w:p>
        </w:tc>
      </w:tr>
      <w:tr w:rsidR="005C6723" w:rsidRPr="00B75292" w14:paraId="494C248F" w14:textId="77777777" w:rsidTr="00C76499">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248B" w14:textId="77777777" w:rsidR="005C6723" w:rsidRPr="00C76499" w:rsidRDefault="005C6723">
            <w:pPr>
              <w:rPr>
                <w:color w:val="000000"/>
              </w:rPr>
            </w:pPr>
            <w:r w:rsidRPr="00C76499">
              <w:rPr>
                <w:color w:val="000000"/>
              </w:rPr>
              <w:t>With 1 FTE for 21 Months</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4C248C" w14:textId="77777777" w:rsidR="005C6723" w:rsidRPr="00C76499" w:rsidRDefault="005C6723">
            <w:pPr>
              <w:rPr>
                <w:color w:val="000000"/>
              </w:rPr>
            </w:pPr>
            <w:r w:rsidRPr="00C76499">
              <w:rPr>
                <w:color w:val="000000"/>
              </w:rPr>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494C248D" w14:textId="77777777" w:rsidR="005C6723" w:rsidRPr="00C76499" w:rsidRDefault="005C6723">
            <w:pPr>
              <w:rPr>
                <w:color w:val="000000"/>
              </w:rPr>
            </w:pPr>
            <w:r w:rsidRPr="00C76499">
              <w:rPr>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4C248E" w14:textId="77777777" w:rsidR="005C6723" w:rsidRPr="00C76499" w:rsidRDefault="005C6723">
            <w:pPr>
              <w:rPr>
                <w:color w:val="000000"/>
              </w:rPr>
            </w:pPr>
            <w:r w:rsidRPr="00C76499">
              <w:rPr>
                <w:color w:val="000000"/>
              </w:rPr>
              <w:t> </w:t>
            </w:r>
          </w:p>
        </w:tc>
      </w:tr>
      <w:tr w:rsidR="005C6723" w:rsidRPr="00B75292" w14:paraId="494C2494" w14:textId="77777777" w:rsidTr="00C76499">
        <w:trPr>
          <w:trHeight w:val="288"/>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14:paraId="494C2490" w14:textId="77777777" w:rsidR="005C6723" w:rsidRPr="00C76499" w:rsidRDefault="005C6723">
            <w:pPr>
              <w:rPr>
                <w:b/>
                <w:bCs/>
                <w:color w:val="000000"/>
              </w:rPr>
            </w:pPr>
            <w:r w:rsidRPr="00C76499">
              <w:rPr>
                <w:b/>
                <w:bCs/>
                <w:color w:val="000000"/>
              </w:rPr>
              <w:t>Total</w:t>
            </w:r>
          </w:p>
        </w:tc>
        <w:tc>
          <w:tcPr>
            <w:tcW w:w="1048" w:type="dxa"/>
            <w:tcBorders>
              <w:top w:val="nil"/>
              <w:left w:val="nil"/>
              <w:bottom w:val="single" w:sz="4" w:space="0" w:color="auto"/>
              <w:right w:val="single" w:sz="4" w:space="0" w:color="auto"/>
            </w:tcBorders>
            <w:shd w:val="clear" w:color="auto" w:fill="auto"/>
            <w:noWrap/>
            <w:vAlign w:val="bottom"/>
            <w:hideMark/>
          </w:tcPr>
          <w:p w14:paraId="494C2491" w14:textId="77777777" w:rsidR="005C6723" w:rsidRPr="00C76499" w:rsidRDefault="005C6723">
            <w:pPr>
              <w:jc w:val="right"/>
              <w:rPr>
                <w:b/>
                <w:bCs/>
                <w:color w:val="000000"/>
              </w:rPr>
            </w:pPr>
            <w:r w:rsidRPr="00C76499">
              <w:rPr>
                <w:b/>
                <w:bCs/>
                <w:color w:val="000000"/>
              </w:rPr>
              <w:t>250</w:t>
            </w:r>
          </w:p>
        </w:tc>
        <w:tc>
          <w:tcPr>
            <w:tcW w:w="2526" w:type="dxa"/>
            <w:tcBorders>
              <w:top w:val="nil"/>
              <w:left w:val="nil"/>
              <w:bottom w:val="single" w:sz="4" w:space="0" w:color="auto"/>
              <w:right w:val="single" w:sz="4" w:space="0" w:color="auto"/>
            </w:tcBorders>
            <w:shd w:val="clear" w:color="auto" w:fill="auto"/>
            <w:noWrap/>
            <w:vAlign w:val="bottom"/>
            <w:hideMark/>
          </w:tcPr>
          <w:p w14:paraId="494C2492" w14:textId="77777777" w:rsidR="005C6723" w:rsidRPr="00C76499" w:rsidRDefault="005C6723">
            <w:pPr>
              <w:rPr>
                <w:b/>
                <w:bCs/>
                <w:color w:val="000000"/>
              </w:rPr>
            </w:pPr>
            <w:r w:rsidRPr="00C76499">
              <w:rPr>
                <w:b/>
                <w:bCs/>
                <w:color w:val="000000"/>
              </w:rPr>
              <w:t xml:space="preserve"> $                         1,413 </w:t>
            </w:r>
          </w:p>
        </w:tc>
        <w:tc>
          <w:tcPr>
            <w:tcW w:w="2430" w:type="dxa"/>
            <w:tcBorders>
              <w:top w:val="nil"/>
              <w:left w:val="nil"/>
              <w:bottom w:val="single" w:sz="4" w:space="0" w:color="auto"/>
              <w:right w:val="single" w:sz="4" w:space="0" w:color="auto"/>
            </w:tcBorders>
            <w:shd w:val="clear" w:color="auto" w:fill="auto"/>
            <w:noWrap/>
            <w:vAlign w:val="bottom"/>
            <w:hideMark/>
          </w:tcPr>
          <w:p w14:paraId="494C2493" w14:textId="77777777" w:rsidR="005C6723" w:rsidRPr="00C76499" w:rsidRDefault="005C6723">
            <w:pPr>
              <w:rPr>
                <w:b/>
                <w:bCs/>
                <w:color w:val="000000"/>
              </w:rPr>
            </w:pPr>
            <w:r w:rsidRPr="00C76499">
              <w:rPr>
                <w:b/>
                <w:bCs/>
                <w:color w:val="000000"/>
              </w:rPr>
              <w:t xml:space="preserve"> $      353,363 </w:t>
            </w:r>
          </w:p>
        </w:tc>
      </w:tr>
      <w:tr w:rsidR="005C6723" w:rsidRPr="00B75292" w14:paraId="494C2499" w14:textId="77777777" w:rsidTr="00C76499">
        <w:trPr>
          <w:trHeight w:val="288"/>
        </w:trPr>
        <w:tc>
          <w:tcPr>
            <w:tcW w:w="2381" w:type="dxa"/>
            <w:tcBorders>
              <w:top w:val="nil"/>
              <w:left w:val="single" w:sz="8" w:space="0" w:color="auto"/>
              <w:bottom w:val="nil"/>
              <w:right w:val="nil"/>
            </w:tcBorders>
            <w:shd w:val="clear" w:color="auto" w:fill="auto"/>
            <w:noWrap/>
            <w:vAlign w:val="bottom"/>
            <w:hideMark/>
          </w:tcPr>
          <w:p w14:paraId="494C2495" w14:textId="77777777" w:rsidR="005C6723" w:rsidRPr="00C76499" w:rsidRDefault="005C6723">
            <w:pPr>
              <w:rPr>
                <w:b/>
                <w:bCs/>
                <w:color w:val="000000"/>
              </w:rPr>
            </w:pPr>
            <w:r w:rsidRPr="00C76499">
              <w:rPr>
                <w:b/>
                <w:bCs/>
                <w:color w:val="000000"/>
              </w:rPr>
              <w:t> </w:t>
            </w:r>
          </w:p>
        </w:tc>
        <w:tc>
          <w:tcPr>
            <w:tcW w:w="1048" w:type="dxa"/>
            <w:tcBorders>
              <w:top w:val="nil"/>
              <w:left w:val="nil"/>
              <w:bottom w:val="nil"/>
              <w:right w:val="nil"/>
            </w:tcBorders>
            <w:shd w:val="clear" w:color="auto" w:fill="auto"/>
            <w:noWrap/>
            <w:vAlign w:val="bottom"/>
            <w:hideMark/>
          </w:tcPr>
          <w:p w14:paraId="494C2496" w14:textId="77777777" w:rsidR="005C6723" w:rsidRPr="00C76499" w:rsidRDefault="005C6723">
            <w:pPr>
              <w:rPr>
                <w:b/>
                <w:bCs/>
                <w:color w:val="000000"/>
              </w:rPr>
            </w:pPr>
          </w:p>
        </w:tc>
        <w:tc>
          <w:tcPr>
            <w:tcW w:w="2526" w:type="dxa"/>
            <w:tcBorders>
              <w:top w:val="nil"/>
              <w:left w:val="nil"/>
              <w:bottom w:val="nil"/>
              <w:right w:val="nil"/>
            </w:tcBorders>
            <w:shd w:val="clear" w:color="auto" w:fill="auto"/>
            <w:noWrap/>
            <w:vAlign w:val="bottom"/>
            <w:hideMark/>
          </w:tcPr>
          <w:p w14:paraId="494C2497" w14:textId="77777777" w:rsidR="005C6723" w:rsidRPr="00C76499" w:rsidRDefault="005C6723">
            <w:pPr>
              <w:rPr>
                <w:b/>
                <w:bCs/>
                <w:color w:val="000000"/>
              </w:rPr>
            </w:pPr>
          </w:p>
        </w:tc>
        <w:tc>
          <w:tcPr>
            <w:tcW w:w="2430" w:type="dxa"/>
            <w:tcBorders>
              <w:top w:val="nil"/>
              <w:left w:val="nil"/>
              <w:bottom w:val="nil"/>
              <w:right w:val="single" w:sz="8" w:space="0" w:color="auto"/>
            </w:tcBorders>
            <w:shd w:val="clear" w:color="auto" w:fill="auto"/>
            <w:noWrap/>
            <w:vAlign w:val="bottom"/>
            <w:hideMark/>
          </w:tcPr>
          <w:p w14:paraId="494C2498" w14:textId="77777777" w:rsidR="005C6723" w:rsidRPr="00C76499" w:rsidRDefault="005C6723">
            <w:pPr>
              <w:rPr>
                <w:b/>
                <w:bCs/>
                <w:color w:val="000000"/>
              </w:rPr>
            </w:pPr>
            <w:r w:rsidRPr="00C76499">
              <w:rPr>
                <w:b/>
                <w:bCs/>
                <w:color w:val="000000"/>
              </w:rPr>
              <w:t> </w:t>
            </w:r>
          </w:p>
        </w:tc>
      </w:tr>
      <w:tr w:rsidR="005C6723" w:rsidRPr="00B75292" w14:paraId="494C249E" w14:textId="77777777" w:rsidTr="00C76499">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249A" w14:textId="77777777" w:rsidR="005C6723" w:rsidRPr="00C76499" w:rsidRDefault="005C6723">
            <w:pPr>
              <w:rPr>
                <w:color w:val="000000"/>
              </w:rPr>
            </w:pPr>
            <w:r w:rsidRPr="00C76499">
              <w:rPr>
                <w:color w:val="000000"/>
              </w:rPr>
              <w:t>With 1 FTE for 21 Months</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4C249B" w14:textId="77777777" w:rsidR="005C6723" w:rsidRPr="00C76499" w:rsidRDefault="005C6723">
            <w:pPr>
              <w:rPr>
                <w:color w:val="000000"/>
              </w:rPr>
            </w:pPr>
            <w:r w:rsidRPr="00C76499">
              <w:rPr>
                <w:color w:val="000000"/>
              </w:rPr>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494C249C" w14:textId="77777777" w:rsidR="005C6723" w:rsidRPr="00C76499" w:rsidRDefault="005C6723">
            <w:pPr>
              <w:rPr>
                <w:color w:val="000000"/>
              </w:rPr>
            </w:pPr>
            <w:r w:rsidRPr="00C76499">
              <w:rPr>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4C249D" w14:textId="77777777" w:rsidR="005C6723" w:rsidRPr="00C76499" w:rsidRDefault="005C6723">
            <w:pPr>
              <w:rPr>
                <w:color w:val="000000"/>
              </w:rPr>
            </w:pPr>
            <w:r w:rsidRPr="00C76499">
              <w:rPr>
                <w:color w:val="000000"/>
              </w:rPr>
              <w:t> </w:t>
            </w:r>
          </w:p>
        </w:tc>
      </w:tr>
      <w:tr w:rsidR="005C6723" w:rsidRPr="00B75292" w14:paraId="494C24A3" w14:textId="77777777" w:rsidTr="00C76499">
        <w:trPr>
          <w:trHeight w:val="288"/>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14:paraId="494C249F" w14:textId="77777777" w:rsidR="005C6723" w:rsidRPr="00C76499" w:rsidRDefault="005C6723">
            <w:pPr>
              <w:rPr>
                <w:b/>
                <w:bCs/>
                <w:color w:val="000000"/>
              </w:rPr>
            </w:pPr>
            <w:r w:rsidRPr="00C76499">
              <w:rPr>
                <w:b/>
                <w:bCs/>
                <w:color w:val="000000"/>
              </w:rPr>
              <w:t>Total</w:t>
            </w:r>
          </w:p>
        </w:tc>
        <w:tc>
          <w:tcPr>
            <w:tcW w:w="1048" w:type="dxa"/>
            <w:tcBorders>
              <w:top w:val="nil"/>
              <w:left w:val="nil"/>
              <w:bottom w:val="single" w:sz="4" w:space="0" w:color="auto"/>
              <w:right w:val="single" w:sz="4" w:space="0" w:color="auto"/>
            </w:tcBorders>
            <w:shd w:val="clear" w:color="auto" w:fill="auto"/>
            <w:noWrap/>
            <w:vAlign w:val="bottom"/>
            <w:hideMark/>
          </w:tcPr>
          <w:p w14:paraId="494C24A0" w14:textId="77777777" w:rsidR="005C6723" w:rsidRPr="00C76499" w:rsidRDefault="005C6723">
            <w:pPr>
              <w:jc w:val="right"/>
              <w:rPr>
                <w:b/>
                <w:bCs/>
                <w:color w:val="000000"/>
              </w:rPr>
            </w:pPr>
            <w:r w:rsidRPr="00C76499">
              <w:rPr>
                <w:b/>
                <w:bCs/>
                <w:color w:val="000000"/>
              </w:rPr>
              <w:t>300</w:t>
            </w:r>
          </w:p>
        </w:tc>
        <w:tc>
          <w:tcPr>
            <w:tcW w:w="2526" w:type="dxa"/>
            <w:tcBorders>
              <w:top w:val="nil"/>
              <w:left w:val="nil"/>
              <w:bottom w:val="single" w:sz="4" w:space="0" w:color="auto"/>
              <w:right w:val="single" w:sz="4" w:space="0" w:color="auto"/>
            </w:tcBorders>
            <w:shd w:val="clear" w:color="auto" w:fill="auto"/>
            <w:noWrap/>
            <w:vAlign w:val="bottom"/>
            <w:hideMark/>
          </w:tcPr>
          <w:p w14:paraId="494C24A1" w14:textId="77777777" w:rsidR="005C6723" w:rsidRPr="00C76499" w:rsidRDefault="005C6723">
            <w:pPr>
              <w:rPr>
                <w:b/>
                <w:bCs/>
                <w:color w:val="000000"/>
              </w:rPr>
            </w:pPr>
            <w:r w:rsidRPr="00C76499">
              <w:rPr>
                <w:b/>
                <w:bCs/>
                <w:color w:val="000000"/>
              </w:rPr>
              <w:t xml:space="preserve"> $                         1,103 </w:t>
            </w:r>
          </w:p>
        </w:tc>
        <w:tc>
          <w:tcPr>
            <w:tcW w:w="2430" w:type="dxa"/>
            <w:tcBorders>
              <w:top w:val="nil"/>
              <w:left w:val="nil"/>
              <w:bottom w:val="single" w:sz="4" w:space="0" w:color="auto"/>
              <w:right w:val="single" w:sz="4" w:space="0" w:color="auto"/>
            </w:tcBorders>
            <w:shd w:val="clear" w:color="auto" w:fill="auto"/>
            <w:noWrap/>
            <w:vAlign w:val="bottom"/>
            <w:hideMark/>
          </w:tcPr>
          <w:p w14:paraId="494C24A2" w14:textId="77777777" w:rsidR="005C6723" w:rsidRPr="00C76499" w:rsidRDefault="005C6723">
            <w:pPr>
              <w:rPr>
                <w:b/>
                <w:bCs/>
                <w:color w:val="000000"/>
              </w:rPr>
            </w:pPr>
            <w:r w:rsidRPr="00C76499">
              <w:rPr>
                <w:b/>
                <w:bCs/>
                <w:color w:val="000000"/>
              </w:rPr>
              <w:t xml:space="preserve"> $      330,750 </w:t>
            </w:r>
          </w:p>
        </w:tc>
      </w:tr>
      <w:tr w:rsidR="005C6723" w:rsidRPr="00B75292" w14:paraId="494C24A8" w14:textId="77777777" w:rsidTr="00C76499">
        <w:trPr>
          <w:trHeight w:val="288"/>
        </w:trPr>
        <w:tc>
          <w:tcPr>
            <w:tcW w:w="2381" w:type="dxa"/>
            <w:tcBorders>
              <w:top w:val="nil"/>
              <w:left w:val="single" w:sz="8" w:space="0" w:color="auto"/>
              <w:bottom w:val="nil"/>
              <w:right w:val="nil"/>
            </w:tcBorders>
            <w:shd w:val="clear" w:color="auto" w:fill="auto"/>
            <w:noWrap/>
            <w:vAlign w:val="bottom"/>
            <w:hideMark/>
          </w:tcPr>
          <w:p w14:paraId="494C24A4" w14:textId="77777777" w:rsidR="005C6723" w:rsidRPr="00C76499" w:rsidRDefault="005C6723">
            <w:pPr>
              <w:rPr>
                <w:color w:val="000000"/>
              </w:rPr>
            </w:pPr>
            <w:r w:rsidRPr="00C76499">
              <w:rPr>
                <w:color w:val="000000"/>
              </w:rPr>
              <w:t> </w:t>
            </w:r>
          </w:p>
        </w:tc>
        <w:tc>
          <w:tcPr>
            <w:tcW w:w="1048" w:type="dxa"/>
            <w:tcBorders>
              <w:top w:val="nil"/>
              <w:left w:val="nil"/>
              <w:bottom w:val="nil"/>
              <w:right w:val="nil"/>
            </w:tcBorders>
            <w:shd w:val="clear" w:color="auto" w:fill="auto"/>
            <w:noWrap/>
            <w:vAlign w:val="bottom"/>
            <w:hideMark/>
          </w:tcPr>
          <w:p w14:paraId="494C24A5" w14:textId="77777777" w:rsidR="005C6723" w:rsidRPr="00C76499" w:rsidRDefault="005C6723">
            <w:pPr>
              <w:rPr>
                <w:color w:val="000000"/>
              </w:rPr>
            </w:pPr>
          </w:p>
        </w:tc>
        <w:tc>
          <w:tcPr>
            <w:tcW w:w="2526" w:type="dxa"/>
            <w:tcBorders>
              <w:top w:val="nil"/>
              <w:left w:val="nil"/>
              <w:bottom w:val="nil"/>
              <w:right w:val="nil"/>
            </w:tcBorders>
            <w:shd w:val="clear" w:color="auto" w:fill="auto"/>
            <w:noWrap/>
            <w:vAlign w:val="bottom"/>
            <w:hideMark/>
          </w:tcPr>
          <w:p w14:paraId="494C24A6" w14:textId="77777777" w:rsidR="005C6723" w:rsidRPr="00C76499" w:rsidRDefault="005C6723">
            <w:pPr>
              <w:rPr>
                <w:color w:val="000000"/>
              </w:rPr>
            </w:pPr>
          </w:p>
        </w:tc>
        <w:tc>
          <w:tcPr>
            <w:tcW w:w="2430" w:type="dxa"/>
            <w:tcBorders>
              <w:top w:val="nil"/>
              <w:left w:val="nil"/>
              <w:bottom w:val="nil"/>
              <w:right w:val="single" w:sz="8" w:space="0" w:color="auto"/>
            </w:tcBorders>
            <w:shd w:val="clear" w:color="auto" w:fill="auto"/>
            <w:noWrap/>
            <w:vAlign w:val="bottom"/>
            <w:hideMark/>
          </w:tcPr>
          <w:p w14:paraId="494C24A7" w14:textId="77777777" w:rsidR="005C6723" w:rsidRPr="00C76499" w:rsidRDefault="005C6723">
            <w:pPr>
              <w:rPr>
                <w:color w:val="000000"/>
              </w:rPr>
            </w:pPr>
            <w:r w:rsidRPr="00C76499">
              <w:rPr>
                <w:color w:val="000000"/>
              </w:rPr>
              <w:t> </w:t>
            </w:r>
          </w:p>
        </w:tc>
      </w:tr>
      <w:tr w:rsidR="005C6723" w:rsidRPr="00B75292" w14:paraId="494C24AD" w14:textId="77777777" w:rsidTr="00C76499">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24A9" w14:textId="77777777" w:rsidR="005C6723" w:rsidRPr="00C76499" w:rsidRDefault="005C6723">
            <w:pPr>
              <w:rPr>
                <w:color w:val="000000"/>
              </w:rPr>
            </w:pPr>
            <w:r w:rsidRPr="00C76499">
              <w:rPr>
                <w:color w:val="000000"/>
              </w:rPr>
              <w:t>With 2 FTE in 21 months</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4C24AA" w14:textId="77777777" w:rsidR="005C6723" w:rsidRPr="00C76499" w:rsidRDefault="005C6723">
            <w:pPr>
              <w:rPr>
                <w:color w:val="000000"/>
              </w:rPr>
            </w:pPr>
            <w:r w:rsidRPr="00C76499">
              <w:rPr>
                <w:color w:val="000000"/>
              </w:rPr>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494C24AB" w14:textId="77777777" w:rsidR="005C6723" w:rsidRPr="00C76499" w:rsidRDefault="005C6723">
            <w:pPr>
              <w:rPr>
                <w:color w:val="000000"/>
              </w:rPr>
            </w:pPr>
            <w:r w:rsidRPr="00C76499">
              <w:rPr>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4C24AC" w14:textId="77777777" w:rsidR="005C6723" w:rsidRPr="00C76499" w:rsidRDefault="005C6723">
            <w:pPr>
              <w:rPr>
                <w:color w:val="000000"/>
              </w:rPr>
            </w:pPr>
            <w:r w:rsidRPr="00C76499">
              <w:rPr>
                <w:color w:val="000000"/>
              </w:rPr>
              <w:t> </w:t>
            </w:r>
          </w:p>
        </w:tc>
      </w:tr>
      <w:tr w:rsidR="005C6723" w:rsidRPr="00B75292" w14:paraId="494C24B2" w14:textId="77777777" w:rsidTr="00C76499">
        <w:trPr>
          <w:trHeight w:val="288"/>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14:paraId="494C24AE" w14:textId="77777777" w:rsidR="005C6723" w:rsidRPr="00C76499" w:rsidRDefault="005C6723">
            <w:pPr>
              <w:rPr>
                <w:b/>
                <w:bCs/>
                <w:color w:val="000000"/>
              </w:rPr>
            </w:pPr>
            <w:r w:rsidRPr="00C76499">
              <w:rPr>
                <w:b/>
                <w:bCs/>
                <w:color w:val="000000"/>
              </w:rPr>
              <w:t>Total</w:t>
            </w:r>
          </w:p>
        </w:tc>
        <w:tc>
          <w:tcPr>
            <w:tcW w:w="1048" w:type="dxa"/>
            <w:tcBorders>
              <w:top w:val="nil"/>
              <w:left w:val="nil"/>
              <w:bottom w:val="single" w:sz="4" w:space="0" w:color="auto"/>
              <w:right w:val="single" w:sz="4" w:space="0" w:color="auto"/>
            </w:tcBorders>
            <w:shd w:val="clear" w:color="auto" w:fill="auto"/>
            <w:noWrap/>
            <w:vAlign w:val="bottom"/>
            <w:hideMark/>
          </w:tcPr>
          <w:p w14:paraId="494C24AF" w14:textId="77777777" w:rsidR="005C6723" w:rsidRPr="00C76499" w:rsidRDefault="005C6723">
            <w:pPr>
              <w:jc w:val="right"/>
              <w:rPr>
                <w:b/>
                <w:bCs/>
                <w:color w:val="000000"/>
              </w:rPr>
            </w:pPr>
            <w:r w:rsidRPr="00C76499">
              <w:rPr>
                <w:b/>
                <w:bCs/>
                <w:color w:val="000000"/>
              </w:rPr>
              <w:t>800</w:t>
            </w:r>
          </w:p>
        </w:tc>
        <w:tc>
          <w:tcPr>
            <w:tcW w:w="2526" w:type="dxa"/>
            <w:tcBorders>
              <w:top w:val="nil"/>
              <w:left w:val="nil"/>
              <w:bottom w:val="single" w:sz="4" w:space="0" w:color="auto"/>
              <w:right w:val="single" w:sz="4" w:space="0" w:color="auto"/>
            </w:tcBorders>
            <w:shd w:val="clear" w:color="auto" w:fill="auto"/>
            <w:noWrap/>
            <w:vAlign w:val="bottom"/>
            <w:hideMark/>
          </w:tcPr>
          <w:p w14:paraId="494C24B0" w14:textId="77777777" w:rsidR="005C6723" w:rsidRPr="00C76499" w:rsidRDefault="005C6723">
            <w:pPr>
              <w:rPr>
                <w:b/>
                <w:bCs/>
                <w:color w:val="000000"/>
              </w:rPr>
            </w:pPr>
            <w:r w:rsidRPr="00C76499">
              <w:rPr>
                <w:b/>
                <w:bCs/>
                <w:color w:val="000000"/>
              </w:rPr>
              <w:t xml:space="preserve"> $                             987 </w:t>
            </w:r>
          </w:p>
        </w:tc>
        <w:tc>
          <w:tcPr>
            <w:tcW w:w="2430" w:type="dxa"/>
            <w:tcBorders>
              <w:top w:val="nil"/>
              <w:left w:val="nil"/>
              <w:bottom w:val="single" w:sz="4" w:space="0" w:color="auto"/>
              <w:right w:val="single" w:sz="4" w:space="0" w:color="auto"/>
            </w:tcBorders>
            <w:shd w:val="clear" w:color="auto" w:fill="auto"/>
            <w:noWrap/>
            <w:vAlign w:val="bottom"/>
            <w:hideMark/>
          </w:tcPr>
          <w:p w14:paraId="494C24B1" w14:textId="77777777" w:rsidR="005C6723" w:rsidRPr="00C76499" w:rsidRDefault="005C6723">
            <w:pPr>
              <w:rPr>
                <w:b/>
                <w:bCs/>
                <w:color w:val="000000"/>
              </w:rPr>
            </w:pPr>
            <w:r w:rsidRPr="00C76499">
              <w:rPr>
                <w:b/>
                <w:bCs/>
                <w:color w:val="000000"/>
              </w:rPr>
              <w:t xml:space="preserve"> $      789,750 </w:t>
            </w:r>
          </w:p>
        </w:tc>
      </w:tr>
      <w:tr w:rsidR="005C6723" w:rsidRPr="00B75292" w14:paraId="494C24B7" w14:textId="77777777" w:rsidTr="00C76499">
        <w:trPr>
          <w:trHeight w:val="288"/>
        </w:trPr>
        <w:tc>
          <w:tcPr>
            <w:tcW w:w="2381" w:type="dxa"/>
            <w:tcBorders>
              <w:top w:val="nil"/>
              <w:left w:val="single" w:sz="8" w:space="0" w:color="auto"/>
              <w:bottom w:val="nil"/>
              <w:right w:val="nil"/>
            </w:tcBorders>
            <w:shd w:val="clear" w:color="auto" w:fill="auto"/>
            <w:noWrap/>
            <w:vAlign w:val="bottom"/>
            <w:hideMark/>
          </w:tcPr>
          <w:p w14:paraId="494C24B3" w14:textId="77777777" w:rsidR="005C6723" w:rsidRPr="00C76499" w:rsidRDefault="005C6723">
            <w:pPr>
              <w:rPr>
                <w:color w:val="000000"/>
              </w:rPr>
            </w:pPr>
            <w:r w:rsidRPr="00C76499">
              <w:rPr>
                <w:color w:val="000000"/>
              </w:rPr>
              <w:t> </w:t>
            </w:r>
          </w:p>
        </w:tc>
        <w:tc>
          <w:tcPr>
            <w:tcW w:w="1048" w:type="dxa"/>
            <w:tcBorders>
              <w:top w:val="nil"/>
              <w:left w:val="nil"/>
              <w:bottom w:val="nil"/>
              <w:right w:val="nil"/>
            </w:tcBorders>
            <w:shd w:val="clear" w:color="auto" w:fill="auto"/>
            <w:noWrap/>
            <w:vAlign w:val="bottom"/>
            <w:hideMark/>
          </w:tcPr>
          <w:p w14:paraId="494C24B4" w14:textId="77777777" w:rsidR="005C6723" w:rsidRPr="00C76499" w:rsidRDefault="005C6723">
            <w:pPr>
              <w:rPr>
                <w:color w:val="000000"/>
              </w:rPr>
            </w:pPr>
          </w:p>
        </w:tc>
        <w:tc>
          <w:tcPr>
            <w:tcW w:w="2526" w:type="dxa"/>
            <w:tcBorders>
              <w:top w:val="nil"/>
              <w:left w:val="nil"/>
              <w:bottom w:val="nil"/>
              <w:right w:val="nil"/>
            </w:tcBorders>
            <w:shd w:val="clear" w:color="auto" w:fill="auto"/>
            <w:noWrap/>
            <w:vAlign w:val="bottom"/>
            <w:hideMark/>
          </w:tcPr>
          <w:p w14:paraId="494C24B5" w14:textId="77777777" w:rsidR="005C6723" w:rsidRPr="00C76499" w:rsidRDefault="005C6723">
            <w:pPr>
              <w:rPr>
                <w:color w:val="000000"/>
              </w:rPr>
            </w:pPr>
          </w:p>
        </w:tc>
        <w:tc>
          <w:tcPr>
            <w:tcW w:w="2430" w:type="dxa"/>
            <w:tcBorders>
              <w:top w:val="nil"/>
              <w:left w:val="nil"/>
              <w:bottom w:val="nil"/>
              <w:right w:val="single" w:sz="8" w:space="0" w:color="auto"/>
            </w:tcBorders>
            <w:shd w:val="clear" w:color="auto" w:fill="auto"/>
            <w:noWrap/>
            <w:vAlign w:val="bottom"/>
            <w:hideMark/>
          </w:tcPr>
          <w:p w14:paraId="494C24B6" w14:textId="77777777" w:rsidR="005C6723" w:rsidRPr="00C76499" w:rsidRDefault="005C6723">
            <w:pPr>
              <w:rPr>
                <w:color w:val="000000"/>
              </w:rPr>
            </w:pPr>
            <w:r w:rsidRPr="00C76499">
              <w:rPr>
                <w:color w:val="000000"/>
              </w:rPr>
              <w:t> </w:t>
            </w:r>
          </w:p>
        </w:tc>
      </w:tr>
      <w:tr w:rsidR="005C6723" w:rsidRPr="00B75292" w14:paraId="494C24BC" w14:textId="77777777" w:rsidTr="00C76499">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24B8" w14:textId="77777777" w:rsidR="005C6723" w:rsidRPr="00C76499" w:rsidRDefault="005C6723">
            <w:pPr>
              <w:rPr>
                <w:color w:val="000000"/>
              </w:rPr>
            </w:pPr>
            <w:r w:rsidRPr="00C76499">
              <w:rPr>
                <w:color w:val="000000"/>
              </w:rPr>
              <w:t>With 2.5 FTE in 21 months</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4C24B9" w14:textId="77777777" w:rsidR="005C6723" w:rsidRPr="00C76499" w:rsidRDefault="005C6723">
            <w:pPr>
              <w:rPr>
                <w:color w:val="000000"/>
              </w:rPr>
            </w:pPr>
            <w:r w:rsidRPr="00C76499">
              <w:rPr>
                <w:color w:val="000000"/>
              </w:rPr>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494C24BA" w14:textId="77777777" w:rsidR="005C6723" w:rsidRPr="00C76499" w:rsidRDefault="005C6723">
            <w:pPr>
              <w:rPr>
                <w:color w:val="000000"/>
              </w:rPr>
            </w:pPr>
            <w:r w:rsidRPr="00C76499">
              <w:rPr>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4C24BB" w14:textId="77777777" w:rsidR="005C6723" w:rsidRPr="00C76499" w:rsidRDefault="005C6723">
            <w:pPr>
              <w:rPr>
                <w:color w:val="000000"/>
              </w:rPr>
            </w:pPr>
            <w:r w:rsidRPr="00C76499">
              <w:rPr>
                <w:color w:val="000000"/>
              </w:rPr>
              <w:t> </w:t>
            </w:r>
          </w:p>
        </w:tc>
      </w:tr>
      <w:tr w:rsidR="005C6723" w:rsidRPr="00B75292" w14:paraId="494C24C1" w14:textId="77777777" w:rsidTr="00C76499">
        <w:trPr>
          <w:trHeight w:val="288"/>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14:paraId="494C24BD" w14:textId="77777777" w:rsidR="005C6723" w:rsidRPr="00C76499" w:rsidRDefault="005C6723">
            <w:pPr>
              <w:rPr>
                <w:b/>
                <w:bCs/>
                <w:color w:val="000000"/>
              </w:rPr>
            </w:pPr>
            <w:r w:rsidRPr="00C76499">
              <w:rPr>
                <w:b/>
                <w:bCs/>
                <w:color w:val="000000"/>
              </w:rPr>
              <w:t>Total</w:t>
            </w:r>
          </w:p>
        </w:tc>
        <w:tc>
          <w:tcPr>
            <w:tcW w:w="1048" w:type="dxa"/>
            <w:tcBorders>
              <w:top w:val="nil"/>
              <w:left w:val="nil"/>
              <w:bottom w:val="single" w:sz="4" w:space="0" w:color="auto"/>
              <w:right w:val="single" w:sz="4" w:space="0" w:color="auto"/>
            </w:tcBorders>
            <w:shd w:val="clear" w:color="auto" w:fill="auto"/>
            <w:noWrap/>
            <w:vAlign w:val="bottom"/>
            <w:hideMark/>
          </w:tcPr>
          <w:p w14:paraId="494C24BE" w14:textId="77777777" w:rsidR="005C6723" w:rsidRPr="00C76499" w:rsidRDefault="005C6723">
            <w:pPr>
              <w:jc w:val="right"/>
              <w:rPr>
                <w:b/>
                <w:bCs/>
                <w:color w:val="000000"/>
              </w:rPr>
            </w:pPr>
            <w:r w:rsidRPr="00C76499">
              <w:rPr>
                <w:b/>
                <w:bCs/>
                <w:color w:val="000000"/>
              </w:rPr>
              <w:t>800</w:t>
            </w:r>
          </w:p>
        </w:tc>
        <w:tc>
          <w:tcPr>
            <w:tcW w:w="2526" w:type="dxa"/>
            <w:tcBorders>
              <w:top w:val="nil"/>
              <w:left w:val="nil"/>
              <w:bottom w:val="single" w:sz="4" w:space="0" w:color="auto"/>
              <w:right w:val="single" w:sz="4" w:space="0" w:color="auto"/>
            </w:tcBorders>
            <w:shd w:val="clear" w:color="auto" w:fill="auto"/>
            <w:noWrap/>
            <w:vAlign w:val="bottom"/>
            <w:hideMark/>
          </w:tcPr>
          <w:p w14:paraId="494C24BF" w14:textId="77777777" w:rsidR="005C6723" w:rsidRPr="00C76499" w:rsidRDefault="005C6723">
            <w:pPr>
              <w:rPr>
                <w:b/>
                <w:bCs/>
                <w:color w:val="000000"/>
              </w:rPr>
            </w:pPr>
            <w:r w:rsidRPr="00C76499">
              <w:rPr>
                <w:b/>
                <w:bCs/>
                <w:color w:val="000000"/>
              </w:rPr>
              <w:t xml:space="preserve"> $                         1,288 </w:t>
            </w:r>
          </w:p>
        </w:tc>
        <w:tc>
          <w:tcPr>
            <w:tcW w:w="2430" w:type="dxa"/>
            <w:tcBorders>
              <w:top w:val="nil"/>
              <w:left w:val="nil"/>
              <w:bottom w:val="single" w:sz="4" w:space="0" w:color="auto"/>
              <w:right w:val="single" w:sz="4" w:space="0" w:color="auto"/>
            </w:tcBorders>
            <w:shd w:val="clear" w:color="auto" w:fill="auto"/>
            <w:noWrap/>
            <w:vAlign w:val="bottom"/>
            <w:hideMark/>
          </w:tcPr>
          <w:p w14:paraId="494C24C0" w14:textId="77777777" w:rsidR="005C6723" w:rsidRPr="00C76499" w:rsidRDefault="005C6723">
            <w:pPr>
              <w:rPr>
                <w:b/>
                <w:bCs/>
                <w:color w:val="000000"/>
              </w:rPr>
            </w:pPr>
            <w:r w:rsidRPr="00C76499">
              <w:rPr>
                <w:b/>
                <w:bCs/>
                <w:color w:val="000000"/>
              </w:rPr>
              <w:t xml:space="preserve"> $   1,030,725 </w:t>
            </w:r>
          </w:p>
        </w:tc>
      </w:tr>
    </w:tbl>
    <w:p w14:paraId="494C24C2" w14:textId="77777777" w:rsidR="00C11F96" w:rsidRDefault="00C11F96">
      <w:pPr>
        <w:spacing w:line="480" w:lineRule="auto"/>
        <w:ind w:firstLine="720"/>
        <w:jc w:val="both"/>
      </w:pPr>
    </w:p>
    <w:p w14:paraId="0ED71BFB" w14:textId="75530A42" w:rsidR="00615484" w:rsidRPr="00C76499" w:rsidRDefault="00615484" w:rsidP="00C76499">
      <w:pPr>
        <w:rPr>
          <w:b/>
          <w:bCs/>
        </w:rPr>
      </w:pPr>
      <w:r w:rsidRPr="00C76499">
        <w:rPr>
          <w:b/>
          <w:bCs/>
        </w:rPr>
        <w:t>Automated Solution Option</w:t>
      </w:r>
    </w:p>
    <w:p w14:paraId="6013DEB1" w14:textId="77777777" w:rsidR="00615484" w:rsidRPr="00C76499" w:rsidRDefault="00615484" w:rsidP="00C76499">
      <w:pPr>
        <w:rPr>
          <w:b/>
        </w:rPr>
      </w:pPr>
    </w:p>
    <w:p w14:paraId="494C24C3" w14:textId="2BC60691" w:rsidR="0064702C" w:rsidRDefault="00C11F96" w:rsidP="536705F9">
      <w:pPr>
        <w:spacing w:line="480" w:lineRule="auto"/>
        <w:ind w:firstLine="720"/>
        <w:jc w:val="both"/>
      </w:pPr>
      <w:r>
        <w:t xml:space="preserve">The second option that was discussed </w:t>
      </w:r>
      <w:r w:rsidR="00615484">
        <w:t xml:space="preserve">on the February 15, 2019 </w:t>
      </w:r>
      <w:r>
        <w:t>was the creation of an automated solution</w:t>
      </w:r>
      <w:r w:rsidR="006B5C73">
        <w:t xml:space="preserve"> that could handle the aggregation and transmission of the data</w:t>
      </w:r>
      <w:r w:rsidR="0064702C">
        <w:t xml:space="preserve"> for both the pre- and post-AMI time periods.  ENO would design, develop and implement the automated process to handle such processes as:</w:t>
      </w:r>
    </w:p>
    <w:p w14:paraId="494C24C4" w14:textId="77777777" w:rsidR="0064702C" w:rsidRPr="00D55E1F" w:rsidRDefault="0064702C" w:rsidP="536705F9">
      <w:pPr>
        <w:pStyle w:val="ListParagraph"/>
        <w:numPr>
          <w:ilvl w:val="0"/>
          <w:numId w:val="37"/>
        </w:numPr>
        <w:spacing w:line="240" w:lineRule="auto"/>
        <w:jc w:val="both"/>
      </w:pPr>
      <w:r w:rsidRPr="00C76499">
        <w:rPr>
          <w:rFonts w:ascii="Times New Roman" w:hAnsi="Times New Roman" w:cs="Times New Roman"/>
          <w:sz w:val="24"/>
          <w:szCs w:val="24"/>
        </w:rPr>
        <w:t>Verification of the</w:t>
      </w:r>
      <w:r w:rsidRPr="00C76499">
        <w:rPr>
          <w:rFonts w:ascii="Times New Roman" w:eastAsia="Times New Roman" w:hAnsi="Times New Roman" w:cs="Times New Roman"/>
          <w:sz w:val="24"/>
          <w:szCs w:val="24"/>
        </w:rPr>
        <w:t xml:space="preserve"> owner</w:t>
      </w:r>
      <w:r>
        <w:rPr>
          <w:rFonts w:ascii="Times New Roman" w:eastAsia="Times New Roman" w:hAnsi="Times New Roman" w:cs="Times New Roman"/>
          <w:sz w:val="24"/>
          <w:szCs w:val="24"/>
        </w:rPr>
        <w:t xml:space="preserve"> of the building</w:t>
      </w:r>
    </w:p>
    <w:p w14:paraId="494C24C5" w14:textId="2EC675A3" w:rsidR="0064702C" w:rsidRDefault="0064702C" w:rsidP="00C76499">
      <w:pPr>
        <w:pStyle w:val="ListParagraph"/>
        <w:numPr>
          <w:ilvl w:val="0"/>
          <w:numId w:val="37"/>
        </w:numPr>
        <w:spacing w:line="240" w:lineRule="auto"/>
        <w:jc w:val="both"/>
      </w:pPr>
      <w:r>
        <w:rPr>
          <w:rFonts w:ascii="Times New Roman" w:eastAsia="Times New Roman" w:hAnsi="Times New Roman" w:cs="Times New Roman"/>
          <w:sz w:val="24"/>
          <w:szCs w:val="24"/>
        </w:rPr>
        <w:t>Verification of the meters attached to the building</w:t>
      </w:r>
    </w:p>
    <w:p w14:paraId="494C24C6" w14:textId="77777777" w:rsidR="0064702C" w:rsidRDefault="0064702C" w:rsidP="00C76499">
      <w:pPr>
        <w:pStyle w:val="ListParagraph"/>
        <w:numPr>
          <w:ilvl w:val="0"/>
          <w:numId w:val="37"/>
        </w:numPr>
        <w:spacing w:line="240" w:lineRule="auto"/>
        <w:jc w:val="both"/>
      </w:pPr>
      <w:r>
        <w:rPr>
          <w:rFonts w:ascii="Times New Roman" w:eastAsia="Times New Roman" w:hAnsi="Times New Roman" w:cs="Times New Roman"/>
          <w:sz w:val="24"/>
          <w:szCs w:val="24"/>
        </w:rPr>
        <w:t>Aggregation of the data</w:t>
      </w:r>
    </w:p>
    <w:p w14:paraId="494C24C7" w14:textId="77777777" w:rsidR="0064702C" w:rsidRDefault="0064702C" w:rsidP="00C76499">
      <w:pPr>
        <w:pStyle w:val="ListParagraph"/>
        <w:numPr>
          <w:ilvl w:val="0"/>
          <w:numId w:val="37"/>
        </w:numPr>
        <w:spacing w:line="240" w:lineRule="auto"/>
        <w:jc w:val="both"/>
      </w:pPr>
      <w:r>
        <w:rPr>
          <w:rFonts w:ascii="Times New Roman" w:eastAsia="Times New Roman" w:hAnsi="Times New Roman" w:cs="Times New Roman"/>
          <w:sz w:val="24"/>
          <w:szCs w:val="24"/>
        </w:rPr>
        <w:t>Transmission of the data to Portfolio Manager</w:t>
      </w:r>
    </w:p>
    <w:p w14:paraId="494C24C8" w14:textId="77777777" w:rsidR="00CF0FF9" w:rsidRDefault="00071373" w:rsidP="536705F9">
      <w:pPr>
        <w:spacing w:line="480" w:lineRule="auto"/>
        <w:ind w:firstLine="720"/>
        <w:jc w:val="both"/>
      </w:pPr>
      <w:r>
        <w:t>Given the speed with which</w:t>
      </w:r>
      <w:r w:rsidR="00DB17B1">
        <w:t xml:space="preserve"> the automated solution</w:t>
      </w:r>
      <w:r>
        <w:t xml:space="preserve"> will be able to process the data requests</w:t>
      </w:r>
      <w:r w:rsidR="00DB17B1">
        <w:t xml:space="preserve">, ENO </w:t>
      </w:r>
      <w:r>
        <w:t>estimated</w:t>
      </w:r>
      <w:r w:rsidR="00DB17B1">
        <w:t xml:space="preserve"> that many more owners will be able to receive the data sooner</w:t>
      </w:r>
      <w:r>
        <w:t xml:space="preserve"> than would through a manual solution or through the Green Coast option</w:t>
      </w:r>
      <w:r w:rsidR="00DB17B1">
        <w:t>.  In addition, ENO</w:t>
      </w:r>
      <w:r>
        <w:t xml:space="preserve"> estimated that the automated solution would be less costly than the Gree</w:t>
      </w:r>
      <w:r w:rsidR="002E22E9">
        <w:t xml:space="preserve">n Coast option.  </w:t>
      </w:r>
    </w:p>
    <w:p w14:paraId="494C24CA" w14:textId="2A0F19F2" w:rsidR="00CF0FF9" w:rsidRDefault="00071373" w:rsidP="1ECD2B58">
      <w:pPr>
        <w:spacing w:line="480" w:lineRule="auto"/>
        <w:ind w:firstLine="720"/>
        <w:jc w:val="both"/>
      </w:pPr>
      <w:r w:rsidRPr="1ECD2B58">
        <w:lastRenderedPageBreak/>
        <w:t xml:space="preserve">  </w:t>
      </w:r>
      <w:r w:rsidR="0064702C" w:rsidRPr="1ECD2B58">
        <w:t xml:space="preserve"> </w:t>
      </w:r>
      <w:r w:rsidR="008075E1">
        <w:t xml:space="preserve">Recognizing that after hearing the automated solution option, the parties on the February 15, 2019 conference call were in consensus that this solution represents the best option for aggregating and transmitting the </w:t>
      </w:r>
      <w:r w:rsidR="00CF0FF9">
        <w:t>data.</w:t>
      </w:r>
      <w:r w:rsidR="0064702C" w:rsidRPr="1ECD2B58">
        <w:t xml:space="preserve"> </w:t>
      </w:r>
    </w:p>
    <w:p w14:paraId="494C24CB" w14:textId="66E113D4" w:rsidR="00CF0FF9" w:rsidRDefault="00F36DC2" w:rsidP="1ECD2B58">
      <w:pPr>
        <w:spacing w:line="480" w:lineRule="auto"/>
        <w:ind w:firstLine="720"/>
        <w:jc w:val="both"/>
      </w:pPr>
      <w:r>
        <w:t xml:space="preserve">Recognizing </w:t>
      </w:r>
      <w:r w:rsidR="00CF0FF9">
        <w:t>that on the February 15, 2019 conference call</w:t>
      </w:r>
      <w:r w:rsidR="00AE60B0">
        <w:t>, none of the parties</w:t>
      </w:r>
      <w:r w:rsidR="00CF0FF9">
        <w:t xml:space="preserve"> expressed any opposition to Green Coast moving forward fulfilling an Energy Advisor role.</w:t>
      </w:r>
      <w:r w:rsidR="00A07084" w:rsidRPr="1ECD2B58">
        <w:t xml:space="preserve">  </w:t>
      </w:r>
      <w:r w:rsidR="00CF0FF9" w:rsidRPr="1ECD2B58">
        <w:t xml:space="preserve"> </w:t>
      </w:r>
      <w:r w:rsidR="00624579">
        <w:t xml:space="preserve">The Energy Advisor’s role would include analysis of building performance, </w:t>
      </w:r>
      <w:r>
        <w:t xml:space="preserve">project opportunity identification and Energy Smart application support.  </w:t>
      </w:r>
      <w:r w:rsidR="00CF0FF9" w:rsidRPr="1ECD2B58">
        <w:t xml:space="preserve"> </w:t>
      </w:r>
      <w:r w:rsidR="008D2CA8">
        <w:t>The estimated cost for Green Coast to perform this role would be approximately $60,000 for 100 buildings for a nine month period.</w:t>
      </w:r>
      <w:r w:rsidR="008D2CA8">
        <w:rPr>
          <w:rStyle w:val="FootnoteReference"/>
        </w:rPr>
        <w:footnoteReference w:id="3"/>
      </w:r>
      <w:r w:rsidR="008D2CA8" w:rsidRPr="1ECD2B58">
        <w:t xml:space="preserve">  </w:t>
      </w:r>
    </w:p>
    <w:p w14:paraId="494C24CD" w14:textId="63C28C99" w:rsidR="005C6723" w:rsidRDefault="002E22E9">
      <w:pPr>
        <w:spacing w:line="480" w:lineRule="auto"/>
        <w:ind w:firstLine="720"/>
        <w:jc w:val="both"/>
      </w:pPr>
      <w:r>
        <w:t>Recognizing that in addition to the aforementioned orders, Resolution No. R-18-539 also required:</w:t>
      </w:r>
    </w:p>
    <w:p w14:paraId="494C24CE" w14:textId="77777777" w:rsidR="00AC0496" w:rsidRPr="00623A97" w:rsidRDefault="00AC0496" w:rsidP="00623A97">
      <w:pPr>
        <w:ind w:left="720" w:right="720"/>
        <w:jc w:val="both"/>
        <w:rPr>
          <w:szCs w:val="24"/>
        </w:rPr>
      </w:pPr>
      <w:r w:rsidRPr="00623A97">
        <w:rPr>
          <w:szCs w:val="24"/>
        </w:rPr>
        <w:t>“ENO to file, within 60 days of adoption of this Resolution, for Council review and approval:</w:t>
      </w:r>
    </w:p>
    <w:p w14:paraId="494C24CF" w14:textId="77777777" w:rsidR="00AC0496" w:rsidRPr="00623A97" w:rsidRDefault="00AC0496" w:rsidP="00623A97">
      <w:pPr>
        <w:pStyle w:val="ListParagraph"/>
        <w:numPr>
          <w:ilvl w:val="0"/>
          <w:numId w:val="31"/>
        </w:numPr>
        <w:ind w:right="720"/>
        <w:jc w:val="both"/>
        <w:rPr>
          <w:rFonts w:ascii="Times New Roman" w:hAnsi="Times New Roman" w:cs="Times New Roman"/>
          <w:sz w:val="24"/>
          <w:szCs w:val="24"/>
        </w:rPr>
      </w:pPr>
      <w:r w:rsidRPr="00623A97">
        <w:rPr>
          <w:rFonts w:ascii="Times New Roman" w:hAnsi="Times New Roman" w:cs="Times New Roman"/>
          <w:sz w:val="24"/>
          <w:szCs w:val="24"/>
        </w:rPr>
        <w:t>Draft processes for the release of whole-building data, including, but not limited to, the processes for ENO’s customers to request the release of the data, for verification of the building owner’s identity, verification of the specific meters attached to the building, notification to customers whose accounts are aggregated in the whole-building data, and for the customer of any account to which an involved meter is attached  to challenge the appropriateness of the release of the data either because there are special circumstances where they believe the Council’s rules would not sufficiently protect their privacy or because they believe the building owner or building owner’s designated agent is using the data for improper purposes.</w:t>
      </w:r>
    </w:p>
    <w:p w14:paraId="494C24D1" w14:textId="1AEE078A" w:rsidR="00AC0496" w:rsidRDefault="00AC0496" w:rsidP="00C76499">
      <w:pPr>
        <w:pStyle w:val="ListParagraph"/>
        <w:numPr>
          <w:ilvl w:val="0"/>
          <w:numId w:val="31"/>
        </w:numPr>
        <w:ind w:right="720"/>
        <w:jc w:val="both"/>
      </w:pPr>
      <w:r w:rsidRPr="00623A97">
        <w:rPr>
          <w:rFonts w:ascii="Times New Roman" w:hAnsi="Times New Roman" w:cs="Times New Roman"/>
          <w:sz w:val="24"/>
          <w:szCs w:val="24"/>
        </w:rPr>
        <w:t>Further information regarding the costs and benefits anticipated to ratepayers of releasing aggregated whole-building data upon request to a limited number of building owners prior to the full implementation of AMI on the ENO system.”</w:t>
      </w:r>
    </w:p>
    <w:p w14:paraId="494C24D2" w14:textId="77777777" w:rsidR="00255FFE" w:rsidRPr="00255FFE" w:rsidRDefault="00255FFE" w:rsidP="00C76499"/>
    <w:p w14:paraId="494C24D3" w14:textId="3998A898" w:rsidR="00AC0496" w:rsidRDefault="002E22E9" w:rsidP="00C76499">
      <w:pPr>
        <w:spacing w:line="480" w:lineRule="auto"/>
        <w:ind w:firstLine="720"/>
        <w:jc w:val="both"/>
      </w:pPr>
      <w:r>
        <w:t>Recognizing that o</w:t>
      </w:r>
      <w:r w:rsidR="00282DBF">
        <w:t>n February 18, 2019, p</w:t>
      </w:r>
      <w:r w:rsidR="00AC0496">
        <w:t xml:space="preserve">ursuant to Resolution R-18-539, ENO </w:t>
      </w:r>
      <w:r w:rsidR="00A512CB">
        <w:t xml:space="preserve">made a filing proposing </w:t>
      </w:r>
      <w:r>
        <w:t xml:space="preserve">draft </w:t>
      </w:r>
      <w:r w:rsidR="00AC0496">
        <w:t>processes</w:t>
      </w:r>
      <w:r>
        <w:t xml:space="preserve"> for the following</w:t>
      </w:r>
      <w:r w:rsidR="00AC0496">
        <w:t>:</w:t>
      </w:r>
    </w:p>
    <w:p w14:paraId="494C24D4" w14:textId="6980F1C5" w:rsidR="00AC0496" w:rsidRPr="00C76499" w:rsidRDefault="00AC0496" w:rsidP="00AC0496">
      <w:pPr>
        <w:pStyle w:val="ListParagraph"/>
        <w:numPr>
          <w:ilvl w:val="0"/>
          <w:numId w:val="28"/>
        </w:numPr>
        <w:rPr>
          <w:rFonts w:ascii="Times New Roman" w:hAnsi="Times New Roman" w:cs="Times New Roman"/>
          <w:sz w:val="24"/>
          <w:szCs w:val="24"/>
        </w:rPr>
      </w:pPr>
      <w:r w:rsidRPr="00C76499">
        <w:rPr>
          <w:rFonts w:ascii="Times New Roman" w:hAnsi="Times New Roman" w:cs="Times New Roman"/>
          <w:sz w:val="24"/>
          <w:szCs w:val="24"/>
        </w:rPr>
        <w:lastRenderedPageBreak/>
        <w:t>Process by which the owner will request the data</w:t>
      </w:r>
    </w:p>
    <w:p w14:paraId="494C24DD" w14:textId="0A8D5529" w:rsidR="00D54149" w:rsidRPr="00C76499" w:rsidRDefault="00FE7A31" w:rsidP="00C76499">
      <w:pPr>
        <w:pStyle w:val="ListParagraph"/>
        <w:numPr>
          <w:ilvl w:val="0"/>
          <w:numId w:val="28"/>
        </w:numPr>
        <w:rPr>
          <w:szCs w:val="24"/>
        </w:rPr>
      </w:pPr>
      <w:r w:rsidRPr="00C76499">
        <w:rPr>
          <w:rFonts w:ascii="Times New Roman" w:hAnsi="Times New Roman" w:cs="Times New Roman"/>
          <w:sz w:val="24"/>
          <w:szCs w:val="24"/>
        </w:rPr>
        <w:t>Process for verifying the building owner’s identity</w:t>
      </w:r>
    </w:p>
    <w:p w14:paraId="494C24DE" w14:textId="77777777" w:rsidR="00AC0496" w:rsidRPr="00C76499" w:rsidRDefault="00AC0496" w:rsidP="00AC0496">
      <w:pPr>
        <w:pStyle w:val="ListParagraph"/>
        <w:numPr>
          <w:ilvl w:val="0"/>
          <w:numId w:val="28"/>
        </w:numPr>
        <w:rPr>
          <w:rFonts w:ascii="Times New Roman" w:hAnsi="Times New Roman" w:cs="Times New Roman"/>
          <w:sz w:val="24"/>
          <w:szCs w:val="24"/>
        </w:rPr>
      </w:pPr>
      <w:r w:rsidRPr="00C76499">
        <w:rPr>
          <w:rFonts w:ascii="Times New Roman" w:hAnsi="Times New Roman" w:cs="Times New Roman"/>
          <w:sz w:val="24"/>
          <w:szCs w:val="24"/>
        </w:rPr>
        <w:t>Process for verifying the meters attached to the owner’s building</w:t>
      </w:r>
    </w:p>
    <w:p w14:paraId="494C24E3" w14:textId="1774EFE8" w:rsidR="00AC0496" w:rsidRPr="00C76499" w:rsidRDefault="00AC0496" w:rsidP="00C76499">
      <w:pPr>
        <w:pStyle w:val="ListParagraph"/>
        <w:numPr>
          <w:ilvl w:val="0"/>
          <w:numId w:val="28"/>
        </w:numPr>
        <w:rPr>
          <w:szCs w:val="24"/>
        </w:rPr>
      </w:pPr>
      <w:r w:rsidRPr="00C76499">
        <w:rPr>
          <w:rFonts w:ascii="Times New Roman" w:hAnsi="Times New Roman" w:cs="Times New Roman"/>
          <w:sz w:val="24"/>
          <w:szCs w:val="24"/>
        </w:rPr>
        <w:t xml:space="preserve">Process for notification of customers whose data is being aggregated </w:t>
      </w:r>
    </w:p>
    <w:p w14:paraId="494C24E4" w14:textId="77777777" w:rsidR="00AC0496" w:rsidRPr="00C76499" w:rsidRDefault="00AC0496" w:rsidP="00AC0496">
      <w:pPr>
        <w:pStyle w:val="ListParagraph"/>
        <w:numPr>
          <w:ilvl w:val="0"/>
          <w:numId w:val="28"/>
        </w:numPr>
        <w:rPr>
          <w:rFonts w:ascii="Times New Roman" w:hAnsi="Times New Roman" w:cs="Times New Roman"/>
          <w:sz w:val="24"/>
          <w:szCs w:val="24"/>
        </w:rPr>
      </w:pPr>
      <w:r w:rsidRPr="00C76499">
        <w:rPr>
          <w:rFonts w:ascii="Times New Roman" w:hAnsi="Times New Roman" w:cs="Times New Roman"/>
          <w:sz w:val="24"/>
          <w:szCs w:val="24"/>
        </w:rPr>
        <w:t>Process whereby a tenant can challenge the appropriateness of the release of the data</w:t>
      </w:r>
    </w:p>
    <w:p w14:paraId="494C24E7" w14:textId="77777777" w:rsidR="00AC0496" w:rsidRPr="00C76499" w:rsidRDefault="00AC0496" w:rsidP="00AC0496">
      <w:pPr>
        <w:pStyle w:val="ListParagraph"/>
        <w:numPr>
          <w:ilvl w:val="0"/>
          <w:numId w:val="28"/>
        </w:numPr>
        <w:rPr>
          <w:rFonts w:ascii="Times New Roman" w:hAnsi="Times New Roman" w:cs="Times New Roman"/>
          <w:sz w:val="24"/>
          <w:szCs w:val="24"/>
        </w:rPr>
      </w:pPr>
      <w:r w:rsidRPr="00C76499">
        <w:rPr>
          <w:rFonts w:ascii="Times New Roman" w:hAnsi="Times New Roman" w:cs="Times New Roman"/>
          <w:sz w:val="24"/>
          <w:szCs w:val="24"/>
        </w:rPr>
        <w:t>Process by which ENO will provide the data to owners or their designees the data</w:t>
      </w:r>
    </w:p>
    <w:p w14:paraId="494C24EF" w14:textId="77777777" w:rsidR="00D237B2" w:rsidRPr="00401061" w:rsidRDefault="00D237B2" w:rsidP="00C76499">
      <w:pPr>
        <w:spacing w:line="480" w:lineRule="auto"/>
        <w:ind w:firstLine="720"/>
        <w:jc w:val="both"/>
      </w:pPr>
      <w:r w:rsidRPr="00D55E1F">
        <w:t>The signatories to this Agreement in Principle hereby agree to the following provisions, terms, and conditions and agree to propose these settlement terms to the Council:</w:t>
      </w:r>
    </w:p>
    <w:p w14:paraId="494C24F0" w14:textId="04DAC0E1" w:rsidR="00D237B2" w:rsidRPr="00C76499" w:rsidRDefault="00D237B2">
      <w:pPr>
        <w:jc w:val="both"/>
        <w:rPr>
          <w:b/>
          <w:bCs/>
          <w:u w:val="single"/>
        </w:rPr>
      </w:pPr>
      <w:r w:rsidRPr="00E97C9A">
        <w:rPr>
          <w:b/>
          <w:bCs/>
          <w:u w:val="single"/>
        </w:rPr>
        <w:t>APPROVAL OF ENO'</w:t>
      </w:r>
      <w:r w:rsidR="23811442" w:rsidRPr="00C76499">
        <w:rPr>
          <w:b/>
          <w:bCs/>
          <w:u w:val="single"/>
        </w:rPr>
        <w:t>S</w:t>
      </w:r>
      <w:r w:rsidRPr="00C76499">
        <w:rPr>
          <w:b/>
          <w:bCs/>
          <w:u w:val="single"/>
        </w:rPr>
        <w:t xml:space="preserve"> DEVELOPMENT AND USE AN AUTOMATED PROCESS SOLUTION TO PROVIDE AGGREGATED WHOLE-BUILDING DATA TO MULTITENANT BUILDING OWNERS</w:t>
      </w:r>
    </w:p>
    <w:p w14:paraId="494C24F1" w14:textId="77777777" w:rsidR="00D237B2" w:rsidRDefault="00D237B2" w:rsidP="00D237B2">
      <w:pPr>
        <w:jc w:val="both"/>
        <w:rPr>
          <w:b/>
          <w:szCs w:val="24"/>
          <w:u w:val="single"/>
        </w:rPr>
      </w:pPr>
    </w:p>
    <w:p w14:paraId="494C24F2" w14:textId="77777777" w:rsidR="00D237B2" w:rsidRDefault="00D237B2" w:rsidP="00D237B2">
      <w:pPr>
        <w:pStyle w:val="ListParagraph"/>
        <w:numPr>
          <w:ilvl w:val="0"/>
          <w:numId w:val="36"/>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The Advisors, ENO, and Alliance and other stakeholders recommend that the Council issue a decision in this proceeding containing the following findings:</w:t>
      </w:r>
    </w:p>
    <w:p w14:paraId="494C24F3" w14:textId="60D24E7A" w:rsidR="00D237B2" w:rsidRDefault="00456CEE" w:rsidP="00D237B2">
      <w:pPr>
        <w:pStyle w:val="ListParagraph"/>
        <w:numPr>
          <w:ilvl w:val="1"/>
          <w:numId w:val="36"/>
        </w:numPr>
        <w:ind w:left="720"/>
        <w:contextualSpacing w:val="0"/>
        <w:jc w:val="both"/>
        <w:rPr>
          <w:rFonts w:ascii="Times New Roman" w:hAnsi="Times New Roman" w:cs="Times New Roman"/>
          <w:sz w:val="24"/>
          <w:szCs w:val="24"/>
        </w:rPr>
      </w:pPr>
      <w:r>
        <w:rPr>
          <w:rFonts w:ascii="Times New Roman" w:hAnsi="Times New Roman" w:cs="Times New Roman"/>
          <w:sz w:val="24"/>
          <w:szCs w:val="24"/>
        </w:rPr>
        <w:t>T</w:t>
      </w:r>
      <w:r w:rsidR="00BE5707">
        <w:rPr>
          <w:rFonts w:ascii="Times New Roman" w:hAnsi="Times New Roman" w:cs="Times New Roman"/>
          <w:sz w:val="24"/>
          <w:szCs w:val="24"/>
        </w:rPr>
        <w:t>he development</w:t>
      </w:r>
      <w:r w:rsidR="00413099">
        <w:rPr>
          <w:rFonts w:ascii="Times New Roman" w:hAnsi="Times New Roman" w:cs="Times New Roman"/>
          <w:sz w:val="24"/>
          <w:szCs w:val="24"/>
        </w:rPr>
        <w:t xml:space="preserve"> and implementation</w:t>
      </w:r>
      <w:r w:rsidR="00BE5707">
        <w:rPr>
          <w:rFonts w:ascii="Times New Roman" w:hAnsi="Times New Roman" w:cs="Times New Roman"/>
          <w:sz w:val="24"/>
          <w:szCs w:val="24"/>
        </w:rPr>
        <w:t xml:space="preserve"> of ENO’</w:t>
      </w:r>
      <w:r>
        <w:rPr>
          <w:rFonts w:ascii="Times New Roman" w:hAnsi="Times New Roman" w:cs="Times New Roman"/>
          <w:sz w:val="24"/>
          <w:szCs w:val="24"/>
        </w:rPr>
        <w:t>s automated process solution at the estimated cost of $50,000</w:t>
      </w:r>
      <w:r w:rsidR="00413099">
        <w:rPr>
          <w:rFonts w:ascii="Times New Roman" w:hAnsi="Times New Roman" w:cs="Times New Roman"/>
          <w:sz w:val="24"/>
          <w:szCs w:val="24"/>
        </w:rPr>
        <w:t>, including ongoing maintenance and support for 2020-2023,</w:t>
      </w:r>
      <w:r w:rsidR="00D237B2">
        <w:rPr>
          <w:rFonts w:ascii="Times New Roman" w:hAnsi="Times New Roman" w:cs="Times New Roman"/>
          <w:sz w:val="24"/>
          <w:szCs w:val="24"/>
        </w:rPr>
        <w:t xml:space="preserve"> is in t</w:t>
      </w:r>
      <w:r w:rsidR="00BE5707">
        <w:rPr>
          <w:rFonts w:ascii="Times New Roman" w:hAnsi="Times New Roman" w:cs="Times New Roman"/>
          <w:sz w:val="24"/>
          <w:szCs w:val="24"/>
        </w:rPr>
        <w:t>he public interest at this time</w:t>
      </w:r>
      <w:r w:rsidR="00D237B2">
        <w:rPr>
          <w:rFonts w:ascii="Times New Roman" w:hAnsi="Times New Roman" w:cs="Times New Roman"/>
          <w:sz w:val="24"/>
          <w:szCs w:val="24"/>
        </w:rPr>
        <w:t>.</w:t>
      </w:r>
      <w:r w:rsidR="00EF1AAC">
        <w:rPr>
          <w:rFonts w:ascii="Times New Roman" w:hAnsi="Times New Roman" w:cs="Times New Roman"/>
          <w:sz w:val="24"/>
          <w:szCs w:val="24"/>
        </w:rPr>
        <w:t xml:space="preserve">  </w:t>
      </w:r>
      <w:r w:rsidR="00413099">
        <w:rPr>
          <w:rFonts w:ascii="Times New Roman" w:hAnsi="Times New Roman" w:cs="Times New Roman"/>
          <w:sz w:val="24"/>
          <w:szCs w:val="24"/>
        </w:rPr>
        <w:t xml:space="preserve"> </w:t>
      </w:r>
      <w:r w:rsidR="007F47E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AFA8729" w14:textId="77777777" w:rsidR="00EF1AAC" w:rsidRDefault="00456CEE" w:rsidP="00D237B2">
      <w:pPr>
        <w:pStyle w:val="ListParagraph"/>
        <w:numPr>
          <w:ilvl w:val="1"/>
          <w:numId w:val="36"/>
        </w:numPr>
        <w:ind w:left="720"/>
        <w:contextualSpacing w:val="0"/>
        <w:jc w:val="both"/>
        <w:rPr>
          <w:rFonts w:ascii="Times New Roman" w:hAnsi="Times New Roman" w:cs="Times New Roman"/>
          <w:sz w:val="24"/>
          <w:szCs w:val="24"/>
        </w:rPr>
      </w:pPr>
      <w:r>
        <w:rPr>
          <w:rFonts w:ascii="Times New Roman" w:hAnsi="Times New Roman" w:cs="Times New Roman"/>
          <w:sz w:val="24"/>
          <w:szCs w:val="24"/>
        </w:rPr>
        <w:t>EN</w:t>
      </w:r>
      <w:r w:rsidR="007F47EB">
        <w:rPr>
          <w:rFonts w:ascii="Times New Roman" w:hAnsi="Times New Roman" w:cs="Times New Roman"/>
          <w:sz w:val="24"/>
          <w:szCs w:val="24"/>
        </w:rPr>
        <w:t>O</w:t>
      </w:r>
      <w:r w:rsidR="00413099">
        <w:rPr>
          <w:rFonts w:ascii="Times New Roman" w:hAnsi="Times New Roman" w:cs="Times New Roman"/>
          <w:sz w:val="24"/>
          <w:szCs w:val="24"/>
        </w:rPr>
        <w:t xml:space="preserve"> should move forward with implementation of draft processes as proposed</w:t>
      </w:r>
      <w:r w:rsidR="007F47EB">
        <w:rPr>
          <w:rFonts w:ascii="Times New Roman" w:hAnsi="Times New Roman" w:cs="Times New Roman"/>
          <w:sz w:val="24"/>
          <w:szCs w:val="24"/>
        </w:rPr>
        <w:t xml:space="preserve"> in its February 18, 2019 </w:t>
      </w:r>
      <w:r w:rsidR="00EF1AAC">
        <w:rPr>
          <w:rFonts w:ascii="Times New Roman" w:hAnsi="Times New Roman" w:cs="Times New Roman"/>
          <w:sz w:val="24"/>
          <w:szCs w:val="24"/>
        </w:rPr>
        <w:t>filing.</w:t>
      </w:r>
    </w:p>
    <w:p w14:paraId="494C24F4" w14:textId="782031BE" w:rsidR="00456CEE" w:rsidRPr="00A7058E" w:rsidRDefault="00413099" w:rsidP="00C76499">
      <w:pPr>
        <w:jc w:val="both"/>
        <w:rPr>
          <w:szCs w:val="24"/>
        </w:rPr>
      </w:pPr>
      <w:r w:rsidRPr="00401061">
        <w:rPr>
          <w:szCs w:val="24"/>
        </w:rPr>
        <w:t xml:space="preserve"> </w:t>
      </w:r>
      <w:r w:rsidR="00456CEE" w:rsidRPr="008D2CA8">
        <w:rPr>
          <w:szCs w:val="24"/>
        </w:rPr>
        <w:t xml:space="preserve"> </w:t>
      </w:r>
    </w:p>
    <w:p w14:paraId="6951D632" w14:textId="3661E257" w:rsidR="00EF1AAC" w:rsidRPr="00C76499" w:rsidRDefault="00EF1AAC">
      <w:pPr>
        <w:jc w:val="both"/>
        <w:rPr>
          <w:b/>
          <w:bCs/>
          <w:u w:val="single"/>
        </w:rPr>
      </w:pPr>
      <w:r w:rsidRPr="00E97C9A">
        <w:rPr>
          <w:b/>
          <w:bCs/>
          <w:u w:val="single"/>
        </w:rPr>
        <w:t>APPROVAL OF THE ADDITION OF AN ENERGY ADVISOR TO ENERGY SMART</w:t>
      </w:r>
    </w:p>
    <w:p w14:paraId="2D8DDCF1" w14:textId="77777777" w:rsidR="00EF1AAC" w:rsidRDefault="00EF1AAC" w:rsidP="00EF1AAC">
      <w:pPr>
        <w:jc w:val="both"/>
        <w:rPr>
          <w:b/>
          <w:szCs w:val="24"/>
          <w:u w:val="single"/>
        </w:rPr>
      </w:pPr>
    </w:p>
    <w:p w14:paraId="72229A79" w14:textId="77777777" w:rsidR="00FD5C91" w:rsidRDefault="00FD5C91" w:rsidP="00FD5C91">
      <w:pPr>
        <w:pStyle w:val="ListParagraph"/>
        <w:numPr>
          <w:ilvl w:val="0"/>
          <w:numId w:val="36"/>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The Advisors, ENO, and Alliance and other stakeholders recommend that the Council issue a decision in this proceeding containing the following findings:</w:t>
      </w:r>
    </w:p>
    <w:p w14:paraId="0A70682D" w14:textId="3ACAD7BA" w:rsidR="00EF1AAC" w:rsidRPr="00401061" w:rsidRDefault="00624579" w:rsidP="536705F9">
      <w:pPr>
        <w:pStyle w:val="ListParagraph"/>
        <w:numPr>
          <w:ilvl w:val="1"/>
          <w:numId w:val="36"/>
        </w:numPr>
        <w:ind w:left="720"/>
        <w:contextualSpacing w:val="0"/>
        <w:jc w:val="both"/>
      </w:pPr>
      <w:r w:rsidRPr="00C76499">
        <w:rPr>
          <w:rFonts w:ascii="Times New Roman" w:hAnsi="Times New Roman" w:cs="Times New Roman"/>
          <w:sz w:val="24"/>
          <w:szCs w:val="24"/>
        </w:rPr>
        <w:t xml:space="preserve">The addition of </w:t>
      </w:r>
      <w:r w:rsidR="008D2CA8">
        <w:rPr>
          <w:rFonts w:ascii="Times New Roman" w:hAnsi="Times New Roman" w:cs="Times New Roman"/>
          <w:sz w:val="24"/>
          <w:szCs w:val="24"/>
        </w:rPr>
        <w:t xml:space="preserve">an Energy Advisor, as stated above, to Green Coast’s role in Energy Smart.    </w:t>
      </w:r>
    </w:p>
    <w:p w14:paraId="494C2509" w14:textId="77777777" w:rsidR="00D25168" w:rsidRDefault="00D25168">
      <w:pPr>
        <w:rPr>
          <w:b/>
          <w:color w:val="000000"/>
        </w:rPr>
      </w:pPr>
    </w:p>
    <w:p w14:paraId="494C250A" w14:textId="77777777" w:rsidR="00A7463F" w:rsidRDefault="00A7463F" w:rsidP="5751273A">
      <w:pPr>
        <w:tabs>
          <w:tab w:val="left" w:pos="720"/>
          <w:tab w:val="left" w:pos="1440"/>
        </w:tabs>
        <w:jc w:val="center"/>
        <w:rPr>
          <w:szCs w:val="24"/>
        </w:rPr>
      </w:pPr>
    </w:p>
    <w:p w14:paraId="7BAADC7C" w14:textId="49494654" w:rsidR="5751273A" w:rsidRDefault="5751273A" w:rsidP="00C76499">
      <w:pPr>
        <w:jc w:val="center"/>
      </w:pPr>
    </w:p>
    <w:p w14:paraId="0429B4AE" w14:textId="75F5444B" w:rsidR="57254182" w:rsidRDefault="62E146CE" w:rsidP="00C76499">
      <w:pPr>
        <w:jc w:val="center"/>
      </w:pPr>
      <w:r>
        <w:t xml:space="preserve">[SIGNATURES ON </w:t>
      </w:r>
      <w:r w:rsidR="7A8FCF78">
        <w:t xml:space="preserve">THE </w:t>
      </w:r>
      <w:r>
        <w:t>NEXT PAGE]</w:t>
      </w:r>
    </w:p>
    <w:p w14:paraId="42428718" w14:textId="11691797" w:rsidR="7A8FCF78" w:rsidRDefault="7A8FCF78" w:rsidP="00C76499">
      <w:pPr>
        <w:jc w:val="center"/>
      </w:pPr>
    </w:p>
    <w:p w14:paraId="5F8B61B8" w14:textId="470CB93A" w:rsidR="7A8FCF78" w:rsidRDefault="7A8FCF78" w:rsidP="00C76499">
      <w:pPr>
        <w:jc w:val="center"/>
      </w:pPr>
    </w:p>
    <w:p w14:paraId="05183615" w14:textId="5D47EE05" w:rsidR="23811442" w:rsidRDefault="23811442" w:rsidP="00C76499">
      <w:pPr>
        <w:jc w:val="center"/>
      </w:pPr>
    </w:p>
    <w:p w14:paraId="62F237C2" w14:textId="499E9C23" w:rsidR="23811442" w:rsidRDefault="23811442" w:rsidP="00C76499">
      <w:pPr>
        <w:jc w:val="center"/>
      </w:pPr>
    </w:p>
    <w:p w14:paraId="422D37BB" w14:textId="54BD7AFC" w:rsidR="23811442" w:rsidRDefault="23811442" w:rsidP="00C76499">
      <w:pPr>
        <w:jc w:val="center"/>
      </w:pPr>
    </w:p>
    <w:p w14:paraId="38718B4E" w14:textId="3E08EC25" w:rsidR="23811442" w:rsidRDefault="23811442" w:rsidP="00C76499">
      <w:pPr>
        <w:jc w:val="center"/>
      </w:pPr>
    </w:p>
    <w:p w14:paraId="46B777FD" w14:textId="70FEBF8C" w:rsidR="23811442" w:rsidRDefault="23811442" w:rsidP="00C76499">
      <w:pPr>
        <w:jc w:val="center"/>
      </w:pPr>
    </w:p>
    <w:p w14:paraId="185A4ECF" w14:textId="5A30280E" w:rsidR="23811442" w:rsidRDefault="23811442" w:rsidP="00C76499">
      <w:pPr>
        <w:jc w:val="center"/>
      </w:pPr>
    </w:p>
    <w:p w14:paraId="71E6F610" w14:textId="092E7206" w:rsidR="1ECD2B58" w:rsidRDefault="1ECD2B58" w:rsidP="00C76499">
      <w:pPr>
        <w:jc w:val="center"/>
      </w:pPr>
    </w:p>
    <w:p w14:paraId="21696932" w14:textId="20543FE5" w:rsidR="7A8FCF78" w:rsidRDefault="7A8FCF78" w:rsidP="00C76499">
      <w:pPr>
        <w:jc w:val="both"/>
      </w:pPr>
      <w:r w:rsidRPr="00C76499">
        <w:rPr>
          <w:b/>
          <w:bCs/>
          <w:szCs w:val="24"/>
        </w:rPr>
        <w:t>Advisors to the Council of the City of New Orleans</w:t>
      </w:r>
    </w:p>
    <w:p w14:paraId="3F1BF91C" w14:textId="369AEC1C" w:rsidR="7A8FCF78" w:rsidRDefault="7A8FCF78" w:rsidP="00C76499">
      <w:pPr>
        <w:jc w:val="both"/>
      </w:pPr>
      <w:r w:rsidRPr="00E97C9A">
        <w:rPr>
          <w:szCs w:val="24"/>
        </w:rPr>
        <w:t xml:space="preserve"> </w:t>
      </w:r>
    </w:p>
    <w:p w14:paraId="5779849F" w14:textId="6F9B4D50" w:rsidR="7A8FCF78" w:rsidRDefault="7A8FCF78" w:rsidP="00C76499">
      <w:pPr>
        <w:jc w:val="both"/>
      </w:pPr>
      <w:r w:rsidRPr="00E97C9A">
        <w:rPr>
          <w:szCs w:val="24"/>
        </w:rPr>
        <w:t>By:______________________________</w:t>
      </w:r>
    </w:p>
    <w:p w14:paraId="1E096E4B" w14:textId="0C810942" w:rsidR="7A8FCF78" w:rsidRDefault="7A8FCF78" w:rsidP="00C76499">
      <w:pPr>
        <w:jc w:val="both"/>
      </w:pPr>
      <w:r w:rsidRPr="00E97C9A">
        <w:rPr>
          <w:szCs w:val="24"/>
        </w:rPr>
        <w:t xml:space="preserve"> </w:t>
      </w:r>
    </w:p>
    <w:p w14:paraId="62495024" w14:textId="491ED2B0" w:rsidR="7A8FCF78" w:rsidRDefault="7A8FCF78" w:rsidP="00C76499">
      <w:pPr>
        <w:jc w:val="both"/>
      </w:pPr>
      <w:r w:rsidRPr="00E97C9A">
        <w:rPr>
          <w:szCs w:val="24"/>
        </w:rPr>
        <w:t xml:space="preserve"> </w:t>
      </w:r>
    </w:p>
    <w:p w14:paraId="6E7CDAD8" w14:textId="2FC190BC" w:rsidR="7A8FCF78" w:rsidRDefault="7A8FCF78" w:rsidP="00C76499">
      <w:pPr>
        <w:jc w:val="both"/>
      </w:pPr>
      <w:r w:rsidRPr="00C76499">
        <w:rPr>
          <w:b/>
          <w:bCs/>
          <w:szCs w:val="24"/>
        </w:rPr>
        <w:t xml:space="preserve">Entergy New Orleans, </w:t>
      </w:r>
      <w:r w:rsidR="0134E76A" w:rsidRPr="00C76499">
        <w:rPr>
          <w:b/>
          <w:bCs/>
          <w:szCs w:val="24"/>
        </w:rPr>
        <w:t>LLC</w:t>
      </w:r>
    </w:p>
    <w:p w14:paraId="60625C8F" w14:textId="7F816065" w:rsidR="7A8FCF78" w:rsidRDefault="7A8FCF78" w:rsidP="00C76499">
      <w:pPr>
        <w:jc w:val="both"/>
      </w:pPr>
      <w:r w:rsidRPr="00E97C9A">
        <w:rPr>
          <w:szCs w:val="24"/>
        </w:rPr>
        <w:t xml:space="preserve"> </w:t>
      </w:r>
    </w:p>
    <w:p w14:paraId="04B8F09E" w14:textId="615AE242" w:rsidR="7A8FCF78" w:rsidRDefault="7A8FCF78" w:rsidP="00C76499">
      <w:pPr>
        <w:jc w:val="both"/>
      </w:pPr>
      <w:r w:rsidRPr="00E97C9A">
        <w:rPr>
          <w:szCs w:val="24"/>
        </w:rPr>
        <w:t>By:______________________________</w:t>
      </w:r>
    </w:p>
    <w:p w14:paraId="0F2556B2" w14:textId="41ECBED1" w:rsidR="7A8FCF78" w:rsidRDefault="7A8FCF78" w:rsidP="00C76499">
      <w:pPr>
        <w:jc w:val="both"/>
      </w:pPr>
      <w:r w:rsidRPr="00E97C9A">
        <w:rPr>
          <w:szCs w:val="24"/>
        </w:rPr>
        <w:t xml:space="preserve"> </w:t>
      </w:r>
    </w:p>
    <w:p w14:paraId="4CA2720C" w14:textId="43E77853" w:rsidR="7A8FCF78" w:rsidRDefault="7A8FCF78" w:rsidP="00C76499">
      <w:pPr>
        <w:jc w:val="both"/>
      </w:pPr>
      <w:r w:rsidRPr="00E97C9A">
        <w:rPr>
          <w:szCs w:val="24"/>
        </w:rPr>
        <w:t xml:space="preserve"> </w:t>
      </w:r>
    </w:p>
    <w:p w14:paraId="0F9595D0" w14:textId="1609BB0E" w:rsidR="7A8FCF78" w:rsidRDefault="7A8FCF78" w:rsidP="00C76499">
      <w:pPr>
        <w:jc w:val="both"/>
      </w:pPr>
      <w:r w:rsidRPr="00C76499">
        <w:rPr>
          <w:b/>
          <w:bCs/>
          <w:szCs w:val="24"/>
        </w:rPr>
        <w:t>Alliance for Affordable Energy</w:t>
      </w:r>
    </w:p>
    <w:p w14:paraId="1D79BA33" w14:textId="23EB5CAA" w:rsidR="7A8FCF78" w:rsidRDefault="7A8FCF78" w:rsidP="00C76499">
      <w:pPr>
        <w:jc w:val="both"/>
      </w:pPr>
      <w:r w:rsidRPr="00E97C9A">
        <w:rPr>
          <w:szCs w:val="24"/>
        </w:rPr>
        <w:t xml:space="preserve"> </w:t>
      </w:r>
    </w:p>
    <w:p w14:paraId="6EDCE297" w14:textId="1A4BB79A" w:rsidR="7A8FCF78" w:rsidRDefault="7A8FCF78" w:rsidP="00C76499">
      <w:pPr>
        <w:jc w:val="both"/>
      </w:pPr>
      <w:r w:rsidRPr="00E97C9A">
        <w:rPr>
          <w:szCs w:val="24"/>
        </w:rPr>
        <w:t>By:______________________________</w:t>
      </w:r>
    </w:p>
    <w:p w14:paraId="2FCB7B6C" w14:textId="794A32DC" w:rsidR="7A8FCF78" w:rsidRDefault="7A8FCF78" w:rsidP="00C76499">
      <w:pPr>
        <w:jc w:val="center"/>
      </w:pPr>
    </w:p>
    <w:p w14:paraId="67D27C29" w14:textId="30D163D2" w:rsidR="7A8FCF78" w:rsidRPr="00C76499" w:rsidRDefault="7A8FCF78" w:rsidP="00C76499">
      <w:pPr>
        <w:jc w:val="center"/>
        <w:rPr>
          <w:b/>
          <w:bCs/>
        </w:rPr>
      </w:pPr>
    </w:p>
    <w:p w14:paraId="5E6CF1F5" w14:textId="097A4031" w:rsidR="466180A4" w:rsidRPr="00C76499" w:rsidRDefault="41484761" w:rsidP="00C76499">
      <w:pPr>
        <w:jc w:val="both"/>
        <w:rPr>
          <w:b/>
          <w:bCs/>
          <w:szCs w:val="24"/>
        </w:rPr>
      </w:pPr>
      <w:r w:rsidRPr="00C76499">
        <w:rPr>
          <w:b/>
          <w:bCs/>
          <w:szCs w:val="24"/>
        </w:rPr>
        <w:t xml:space="preserve">National Housing Trust </w:t>
      </w:r>
    </w:p>
    <w:p w14:paraId="49692DFE" w14:textId="1E8FF1BB" w:rsidR="466180A4" w:rsidRDefault="466180A4" w:rsidP="00C76499">
      <w:pPr>
        <w:jc w:val="both"/>
      </w:pPr>
      <w:r w:rsidRPr="00E97C9A">
        <w:rPr>
          <w:szCs w:val="24"/>
        </w:rPr>
        <w:t xml:space="preserve"> </w:t>
      </w:r>
    </w:p>
    <w:p w14:paraId="436D66F7" w14:textId="796B37AE" w:rsidR="466180A4" w:rsidRDefault="466180A4" w:rsidP="00C76499">
      <w:pPr>
        <w:jc w:val="both"/>
      </w:pPr>
      <w:r w:rsidRPr="00E97C9A">
        <w:rPr>
          <w:szCs w:val="24"/>
        </w:rPr>
        <w:t>By:______________________________</w:t>
      </w:r>
    </w:p>
    <w:p w14:paraId="38BFD465" w14:textId="7F59EA0F" w:rsidR="466180A4" w:rsidRPr="00E97C9A" w:rsidRDefault="466180A4" w:rsidP="00C76499">
      <w:pPr>
        <w:jc w:val="both"/>
        <w:rPr>
          <w:szCs w:val="24"/>
        </w:rPr>
      </w:pPr>
    </w:p>
    <w:p w14:paraId="623D52BA" w14:textId="5AD4B786" w:rsidR="136BD2BC" w:rsidRPr="00C76499" w:rsidRDefault="136BD2BC" w:rsidP="00C76499">
      <w:pPr>
        <w:jc w:val="both"/>
        <w:rPr>
          <w:szCs w:val="24"/>
        </w:rPr>
      </w:pPr>
    </w:p>
    <w:p w14:paraId="15A4BE4B" w14:textId="1F73241A" w:rsidR="5CF3D3CC" w:rsidRPr="00C76499" w:rsidRDefault="5CF3D3CC" w:rsidP="00C76499">
      <w:pPr>
        <w:jc w:val="both"/>
        <w:rPr>
          <w:b/>
          <w:bCs/>
          <w:szCs w:val="24"/>
        </w:rPr>
      </w:pPr>
      <w:r w:rsidRPr="00C76499">
        <w:rPr>
          <w:b/>
          <w:bCs/>
          <w:szCs w:val="24"/>
        </w:rPr>
        <w:t>National Resource Defense Council</w:t>
      </w:r>
    </w:p>
    <w:p w14:paraId="6921DCAE" w14:textId="17243B6B" w:rsidR="5CF3D3CC" w:rsidRPr="00E97C9A" w:rsidRDefault="5CF3D3CC" w:rsidP="00C76499">
      <w:pPr>
        <w:jc w:val="both"/>
        <w:rPr>
          <w:szCs w:val="24"/>
        </w:rPr>
      </w:pPr>
    </w:p>
    <w:p w14:paraId="53B7C2F0" w14:textId="300960D4" w:rsidR="62E146CE" w:rsidRPr="00E97C9A" w:rsidRDefault="5CF3D3CC" w:rsidP="00C76499">
      <w:pPr>
        <w:jc w:val="both"/>
        <w:rPr>
          <w:szCs w:val="24"/>
        </w:rPr>
      </w:pPr>
      <w:r w:rsidRPr="00C76499">
        <w:rPr>
          <w:szCs w:val="24"/>
        </w:rPr>
        <w:t>By:_</w:t>
      </w:r>
      <w:r w:rsidR="136BD2BC" w:rsidRPr="00C76499">
        <w:rPr>
          <w:szCs w:val="24"/>
        </w:rPr>
        <w:t>______________________________</w:t>
      </w:r>
    </w:p>
    <w:p w14:paraId="051D15F2" w14:textId="6E5214E4" w:rsidR="62E146CE" w:rsidRDefault="62E146CE" w:rsidP="00C76499">
      <w:pPr>
        <w:jc w:val="center"/>
      </w:pPr>
    </w:p>
    <w:p w14:paraId="396755A5" w14:textId="0EFD3487" w:rsidR="62E146CE" w:rsidRDefault="62E146CE" w:rsidP="00C76499">
      <w:pPr>
        <w:jc w:val="center"/>
      </w:pPr>
    </w:p>
    <w:p w14:paraId="1BDAAF60" w14:textId="03AF72C1" w:rsidR="62E146CE" w:rsidRDefault="62E146CE" w:rsidP="00C76499">
      <w:pPr>
        <w:jc w:val="center"/>
      </w:pPr>
    </w:p>
    <w:p w14:paraId="579C225E" w14:textId="74CF46B3" w:rsidR="62E146CE" w:rsidRDefault="62E146CE" w:rsidP="00C76499">
      <w:pPr>
        <w:jc w:val="center"/>
      </w:pPr>
    </w:p>
    <w:p w14:paraId="16ECEC55" w14:textId="49D56C8A" w:rsidR="62E146CE" w:rsidRDefault="62E146CE" w:rsidP="00C76499">
      <w:pPr>
        <w:jc w:val="center"/>
      </w:pPr>
    </w:p>
    <w:p w14:paraId="395A92E3" w14:textId="6948CB7E" w:rsidR="62E146CE" w:rsidRDefault="62E146CE" w:rsidP="00C76499">
      <w:pPr>
        <w:jc w:val="center"/>
      </w:pPr>
    </w:p>
    <w:p w14:paraId="6B899D02" w14:textId="415CD474" w:rsidR="62E146CE" w:rsidRDefault="62E146CE" w:rsidP="00C76499">
      <w:pPr>
        <w:jc w:val="center"/>
      </w:pPr>
    </w:p>
    <w:p w14:paraId="7772403B" w14:textId="09D774AA" w:rsidR="62E146CE" w:rsidRDefault="62E146CE" w:rsidP="00C76499">
      <w:pPr>
        <w:jc w:val="center"/>
      </w:pPr>
    </w:p>
    <w:p w14:paraId="7BA97200" w14:textId="1C86D647" w:rsidR="62E146CE" w:rsidRDefault="62E146CE" w:rsidP="00C76499">
      <w:pPr>
        <w:jc w:val="center"/>
      </w:pPr>
    </w:p>
    <w:p w14:paraId="2AD0702C" w14:textId="0930456F" w:rsidR="62E146CE" w:rsidRDefault="62E146CE" w:rsidP="00C76499">
      <w:pPr>
        <w:jc w:val="center"/>
      </w:pPr>
    </w:p>
    <w:p w14:paraId="155E46EE" w14:textId="236DD8A2" w:rsidR="62E146CE" w:rsidRDefault="62E146CE" w:rsidP="00C76499">
      <w:pPr>
        <w:jc w:val="center"/>
      </w:pPr>
    </w:p>
    <w:p w14:paraId="67B5DF9F" w14:textId="67A84C77" w:rsidR="62E146CE" w:rsidRDefault="62E146CE" w:rsidP="00C76499">
      <w:pPr>
        <w:jc w:val="center"/>
      </w:pPr>
    </w:p>
    <w:p w14:paraId="494C250B" w14:textId="77777777" w:rsidR="00A7463F" w:rsidRDefault="00A7463F">
      <w:pPr>
        <w:tabs>
          <w:tab w:val="left" w:pos="720"/>
          <w:tab w:val="left" w:pos="1440"/>
        </w:tabs>
        <w:jc w:val="center"/>
        <w:rPr>
          <w:szCs w:val="24"/>
        </w:rPr>
      </w:pPr>
    </w:p>
    <w:p w14:paraId="494C250C" w14:textId="77777777" w:rsidR="00A7463F" w:rsidRDefault="00A7463F">
      <w:pPr>
        <w:tabs>
          <w:tab w:val="left" w:pos="720"/>
          <w:tab w:val="left" w:pos="1440"/>
        </w:tabs>
        <w:jc w:val="center"/>
        <w:rPr>
          <w:szCs w:val="24"/>
        </w:rPr>
      </w:pPr>
    </w:p>
    <w:sectPr w:rsidR="00A7463F" w:rsidSect="00E97C9A">
      <w:footerReference w:type="even" r:id="rId11"/>
      <w:footerReference w:type="defaul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3874" w14:textId="77777777" w:rsidR="00E51DDA" w:rsidRDefault="00E51DDA">
      <w:r>
        <w:separator/>
      </w:r>
    </w:p>
  </w:endnote>
  <w:endnote w:type="continuationSeparator" w:id="0">
    <w:p w14:paraId="2A327163" w14:textId="77777777" w:rsidR="00E51DDA" w:rsidRDefault="00E5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2511" w14:textId="77777777" w:rsidR="00864D34" w:rsidRDefault="00864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C2512" w14:textId="77777777" w:rsidR="00864D34" w:rsidRDefault="0086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2513" w14:textId="77777777" w:rsidR="00864D34" w:rsidRDefault="00864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A4B">
      <w:rPr>
        <w:rStyle w:val="PageNumber"/>
        <w:noProof/>
      </w:rPr>
      <w:t>8</w:t>
    </w:r>
    <w:r>
      <w:rPr>
        <w:rStyle w:val="PageNumber"/>
      </w:rPr>
      <w:fldChar w:fldCharType="end"/>
    </w:r>
  </w:p>
  <w:p w14:paraId="494C2514" w14:textId="77777777" w:rsidR="00864D34" w:rsidRDefault="00864D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557E" w14:textId="77777777" w:rsidR="00E51DDA" w:rsidRDefault="00E51DDA">
      <w:r>
        <w:separator/>
      </w:r>
    </w:p>
  </w:footnote>
  <w:footnote w:type="continuationSeparator" w:id="0">
    <w:p w14:paraId="0F1D03CA" w14:textId="77777777" w:rsidR="00E51DDA" w:rsidRDefault="00E51DDA">
      <w:r>
        <w:continuationSeparator/>
      </w:r>
    </w:p>
  </w:footnote>
  <w:footnote w:id="1">
    <w:p w14:paraId="494C2516" w14:textId="77777777" w:rsidR="006B2634" w:rsidRDefault="006B2634">
      <w:pPr>
        <w:pStyle w:val="FootnoteText"/>
      </w:pPr>
      <w:r>
        <w:rPr>
          <w:rStyle w:val="FootnoteReference"/>
        </w:rPr>
        <w:footnoteRef/>
      </w:r>
      <w:r>
        <w:t xml:space="preserve"> Council Resolution No. R-18-539, at pg. 3</w:t>
      </w:r>
    </w:p>
  </w:footnote>
  <w:footnote w:id="2">
    <w:p w14:paraId="494C2517" w14:textId="77777777" w:rsidR="004D563C" w:rsidRDefault="004D563C">
      <w:pPr>
        <w:pStyle w:val="FootnoteText"/>
      </w:pPr>
      <w:r>
        <w:rPr>
          <w:rStyle w:val="FootnoteReference"/>
        </w:rPr>
        <w:footnoteRef/>
      </w:r>
      <w:r>
        <w:t xml:space="preserve"> Id, at pg. 4</w:t>
      </w:r>
    </w:p>
  </w:footnote>
  <w:footnote w:id="3">
    <w:p w14:paraId="3A0F9300" w14:textId="10EC7404" w:rsidR="008D2CA8" w:rsidRDefault="008D2CA8">
      <w:pPr>
        <w:pStyle w:val="FootnoteText"/>
      </w:pPr>
      <w:r>
        <w:rPr>
          <w:rStyle w:val="FootnoteReference"/>
        </w:rPr>
        <w:footnoteRef/>
      </w:r>
      <w:r>
        <w:t xml:space="preserve"> Cost and number of buildings is variable based upon the number of months that Green Coast would act as the Energy Advisor.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35890C0"/>
    <w:lvl w:ilvl="0">
      <w:start w:val="1"/>
      <w:numFmt w:val="decimal"/>
      <w:pStyle w:val="ListNumber"/>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EA685424"/>
    <w:lvl w:ilvl="0">
      <w:start w:val="1"/>
      <w:numFmt w:val="bullet"/>
      <w:pStyle w:val="ListBullet"/>
      <w:lvlText w:val=""/>
      <w:lvlJc w:val="left"/>
      <w:pPr>
        <w:ind w:left="720" w:hanging="360"/>
      </w:pPr>
      <w:rPr>
        <w:rFonts w:ascii="Wingdings" w:hAnsi="Wingdings" w:hint="default"/>
        <w:color w:val="007299"/>
      </w:rPr>
    </w:lvl>
  </w:abstractNum>
  <w:abstractNum w:abstractNumId="2" w15:restartNumberingAfterBreak="0">
    <w:nsid w:val="050F4D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7443910"/>
    <w:multiLevelType w:val="hybridMultilevel"/>
    <w:tmpl w:val="94C23E8A"/>
    <w:lvl w:ilvl="0" w:tplc="275094F0">
      <w:start w:val="1"/>
      <w:numFmt w:val="decimal"/>
      <w:lvlText w:val="%1."/>
      <w:lvlJc w:val="left"/>
      <w:pPr>
        <w:ind w:left="720" w:hanging="360"/>
      </w:pPr>
      <w:rPr>
        <w:rFonts w:hint="default"/>
      </w:rPr>
    </w:lvl>
    <w:lvl w:ilvl="1" w:tplc="51C0A198">
      <w:start w:val="1"/>
      <w:numFmt w:val="lowerLetter"/>
      <w:lvlText w:val="%2."/>
      <w:lvlJc w:val="left"/>
      <w:pPr>
        <w:ind w:left="1440" w:hanging="360"/>
      </w:pPr>
    </w:lvl>
    <w:lvl w:ilvl="2" w:tplc="E1AAD708" w:tentative="1">
      <w:start w:val="1"/>
      <w:numFmt w:val="lowerRoman"/>
      <w:lvlText w:val="%3."/>
      <w:lvlJc w:val="right"/>
      <w:pPr>
        <w:ind w:left="2160" w:hanging="180"/>
      </w:pPr>
    </w:lvl>
    <w:lvl w:ilvl="3" w:tplc="EE20FA1A" w:tentative="1">
      <w:start w:val="1"/>
      <w:numFmt w:val="decimal"/>
      <w:lvlText w:val="%4."/>
      <w:lvlJc w:val="left"/>
      <w:pPr>
        <w:ind w:left="2880" w:hanging="360"/>
      </w:pPr>
    </w:lvl>
    <w:lvl w:ilvl="4" w:tplc="72B62FB0" w:tentative="1">
      <w:start w:val="1"/>
      <w:numFmt w:val="lowerLetter"/>
      <w:lvlText w:val="%5."/>
      <w:lvlJc w:val="left"/>
      <w:pPr>
        <w:ind w:left="3600" w:hanging="360"/>
      </w:pPr>
    </w:lvl>
    <w:lvl w:ilvl="5" w:tplc="D89EAAB6" w:tentative="1">
      <w:start w:val="1"/>
      <w:numFmt w:val="lowerRoman"/>
      <w:lvlText w:val="%6."/>
      <w:lvlJc w:val="right"/>
      <w:pPr>
        <w:ind w:left="4320" w:hanging="180"/>
      </w:pPr>
    </w:lvl>
    <w:lvl w:ilvl="6" w:tplc="82D6B7C6" w:tentative="1">
      <w:start w:val="1"/>
      <w:numFmt w:val="decimal"/>
      <w:lvlText w:val="%7."/>
      <w:lvlJc w:val="left"/>
      <w:pPr>
        <w:ind w:left="5040" w:hanging="360"/>
      </w:pPr>
    </w:lvl>
    <w:lvl w:ilvl="7" w:tplc="A86CB9C2" w:tentative="1">
      <w:start w:val="1"/>
      <w:numFmt w:val="lowerLetter"/>
      <w:lvlText w:val="%8."/>
      <w:lvlJc w:val="left"/>
      <w:pPr>
        <w:ind w:left="5760" w:hanging="360"/>
      </w:pPr>
    </w:lvl>
    <w:lvl w:ilvl="8" w:tplc="BA18A8F4" w:tentative="1">
      <w:start w:val="1"/>
      <w:numFmt w:val="lowerRoman"/>
      <w:lvlText w:val="%9."/>
      <w:lvlJc w:val="right"/>
      <w:pPr>
        <w:ind w:left="6480" w:hanging="180"/>
      </w:pPr>
    </w:lvl>
  </w:abstractNum>
  <w:abstractNum w:abstractNumId="4" w15:restartNumberingAfterBreak="0">
    <w:nsid w:val="1D004665"/>
    <w:multiLevelType w:val="hybridMultilevel"/>
    <w:tmpl w:val="C2BC6298"/>
    <w:lvl w:ilvl="0" w:tplc="04090001">
      <w:start w:val="1"/>
      <w:numFmt w:val="bullet"/>
      <w:lvlText w:val=""/>
      <w:lvlJc w:val="left"/>
      <w:pPr>
        <w:ind w:left="1885" w:hanging="360"/>
      </w:pPr>
      <w:rPr>
        <w:rFonts w:ascii="Symbol" w:hAnsi="Symbol" w:hint="default"/>
      </w:rPr>
    </w:lvl>
    <w:lvl w:ilvl="1" w:tplc="04090003" w:tentative="1">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5" w15:restartNumberingAfterBreak="0">
    <w:nsid w:val="1DF168F5"/>
    <w:multiLevelType w:val="hybridMultilevel"/>
    <w:tmpl w:val="B3147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2D6769"/>
    <w:multiLevelType w:val="hybridMultilevel"/>
    <w:tmpl w:val="073A923C"/>
    <w:lvl w:ilvl="0" w:tplc="98FEB774">
      <w:start w:val="1"/>
      <w:numFmt w:val="decimal"/>
      <w:lvlText w:val="%1."/>
      <w:lvlJc w:val="left"/>
      <w:pPr>
        <w:ind w:left="810" w:hanging="360"/>
      </w:pPr>
      <w:rPr>
        <w:rFonts w:ascii="Calibri Light" w:eastAsia="Calibri Light" w:hAnsi="Calibri Light" w:hint="default"/>
        <w:color w:val="2D74B5"/>
        <w:spacing w:val="-1"/>
        <w:w w:val="99"/>
        <w:sz w:val="32"/>
        <w:szCs w:val="32"/>
      </w:rPr>
    </w:lvl>
    <w:lvl w:ilvl="1" w:tplc="6F688BA4">
      <w:start w:val="1"/>
      <w:numFmt w:val="bullet"/>
      <w:lvlText w:val="•"/>
      <w:lvlJc w:val="left"/>
      <w:pPr>
        <w:ind w:left="1179" w:hanging="360"/>
      </w:pPr>
      <w:rPr>
        <w:rFonts w:hint="default"/>
      </w:rPr>
    </w:lvl>
    <w:lvl w:ilvl="2" w:tplc="A69E64D0">
      <w:start w:val="1"/>
      <w:numFmt w:val="bullet"/>
      <w:lvlText w:val="•"/>
      <w:lvlJc w:val="left"/>
      <w:pPr>
        <w:ind w:left="1539" w:hanging="360"/>
      </w:pPr>
      <w:rPr>
        <w:rFonts w:hint="default"/>
      </w:rPr>
    </w:lvl>
    <w:lvl w:ilvl="3" w:tplc="D9669EB2">
      <w:start w:val="1"/>
      <w:numFmt w:val="bullet"/>
      <w:lvlText w:val="•"/>
      <w:lvlJc w:val="left"/>
      <w:pPr>
        <w:ind w:left="1899" w:hanging="360"/>
      </w:pPr>
      <w:rPr>
        <w:rFonts w:hint="default"/>
      </w:rPr>
    </w:lvl>
    <w:lvl w:ilvl="4" w:tplc="B0FADA1A">
      <w:start w:val="1"/>
      <w:numFmt w:val="bullet"/>
      <w:lvlText w:val="•"/>
      <w:lvlJc w:val="left"/>
      <w:pPr>
        <w:ind w:left="2259" w:hanging="360"/>
      </w:pPr>
      <w:rPr>
        <w:rFonts w:hint="default"/>
      </w:rPr>
    </w:lvl>
    <w:lvl w:ilvl="5" w:tplc="9546294C">
      <w:start w:val="1"/>
      <w:numFmt w:val="bullet"/>
      <w:lvlText w:val="•"/>
      <w:lvlJc w:val="left"/>
      <w:pPr>
        <w:ind w:left="2619" w:hanging="360"/>
      </w:pPr>
      <w:rPr>
        <w:rFonts w:hint="default"/>
      </w:rPr>
    </w:lvl>
    <w:lvl w:ilvl="6" w:tplc="BF663730">
      <w:start w:val="1"/>
      <w:numFmt w:val="bullet"/>
      <w:lvlText w:val="•"/>
      <w:lvlJc w:val="left"/>
      <w:pPr>
        <w:ind w:left="2979" w:hanging="360"/>
      </w:pPr>
      <w:rPr>
        <w:rFonts w:hint="default"/>
      </w:rPr>
    </w:lvl>
    <w:lvl w:ilvl="7" w:tplc="B5AE4494">
      <w:start w:val="1"/>
      <w:numFmt w:val="bullet"/>
      <w:lvlText w:val="•"/>
      <w:lvlJc w:val="left"/>
      <w:pPr>
        <w:ind w:left="3339" w:hanging="360"/>
      </w:pPr>
      <w:rPr>
        <w:rFonts w:hint="default"/>
      </w:rPr>
    </w:lvl>
    <w:lvl w:ilvl="8" w:tplc="4894B598">
      <w:start w:val="1"/>
      <w:numFmt w:val="bullet"/>
      <w:lvlText w:val="•"/>
      <w:lvlJc w:val="left"/>
      <w:pPr>
        <w:ind w:left="3699" w:hanging="360"/>
      </w:pPr>
      <w:rPr>
        <w:rFonts w:hint="default"/>
      </w:rPr>
    </w:lvl>
  </w:abstractNum>
  <w:abstractNum w:abstractNumId="7" w15:restartNumberingAfterBreak="0">
    <w:nsid w:val="21002331"/>
    <w:multiLevelType w:val="hybridMultilevel"/>
    <w:tmpl w:val="7912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016C14"/>
    <w:multiLevelType w:val="hybridMultilevel"/>
    <w:tmpl w:val="EF3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D04B7"/>
    <w:multiLevelType w:val="hybridMultilevel"/>
    <w:tmpl w:val="116C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02703"/>
    <w:multiLevelType w:val="singleLevel"/>
    <w:tmpl w:val="04090001"/>
    <w:lvl w:ilvl="0">
      <w:start w:val="1"/>
      <w:numFmt w:val="bullet"/>
      <w:lvlText w:val=""/>
      <w:lvlJc w:val="left"/>
      <w:pPr>
        <w:tabs>
          <w:tab w:val="num" w:pos="1800"/>
        </w:tabs>
        <w:ind w:left="1800" w:hanging="360"/>
      </w:pPr>
      <w:rPr>
        <w:rFonts w:ascii="Symbol" w:hAnsi="Symbol" w:hint="default"/>
      </w:rPr>
    </w:lvl>
  </w:abstractNum>
  <w:abstractNum w:abstractNumId="11" w15:restartNumberingAfterBreak="0">
    <w:nsid w:val="2E191E1C"/>
    <w:multiLevelType w:val="hybridMultilevel"/>
    <w:tmpl w:val="BC70A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496EA0"/>
    <w:multiLevelType w:val="hybridMultilevel"/>
    <w:tmpl w:val="4698A9DA"/>
    <w:lvl w:ilvl="0" w:tplc="246A7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DA35AA"/>
    <w:multiLevelType w:val="hybridMultilevel"/>
    <w:tmpl w:val="0518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76676"/>
    <w:multiLevelType w:val="hybridMultilevel"/>
    <w:tmpl w:val="02389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5452D8"/>
    <w:multiLevelType w:val="hybridMultilevel"/>
    <w:tmpl w:val="B9EC1C18"/>
    <w:lvl w:ilvl="0" w:tplc="04090001">
      <w:start w:val="1"/>
      <w:numFmt w:val="bullet"/>
      <w:lvlText w:val=""/>
      <w:lvlJc w:val="left"/>
      <w:pPr>
        <w:tabs>
          <w:tab w:val="num" w:pos="952"/>
        </w:tabs>
        <w:ind w:left="952" w:hanging="360"/>
      </w:pPr>
      <w:rPr>
        <w:rFonts w:ascii="Symbol" w:hAnsi="Symbol" w:hint="default"/>
      </w:rPr>
    </w:lvl>
    <w:lvl w:ilvl="1" w:tplc="04090003" w:tentative="1">
      <w:start w:val="1"/>
      <w:numFmt w:val="bullet"/>
      <w:lvlText w:val="o"/>
      <w:lvlJc w:val="left"/>
      <w:pPr>
        <w:tabs>
          <w:tab w:val="num" w:pos="1672"/>
        </w:tabs>
        <w:ind w:left="1672" w:hanging="360"/>
      </w:pPr>
      <w:rPr>
        <w:rFonts w:ascii="Courier New" w:hAnsi="Courier New" w:cs="Courier New" w:hint="default"/>
      </w:rPr>
    </w:lvl>
    <w:lvl w:ilvl="2" w:tplc="04090005" w:tentative="1">
      <w:start w:val="1"/>
      <w:numFmt w:val="bullet"/>
      <w:lvlText w:val=""/>
      <w:lvlJc w:val="left"/>
      <w:pPr>
        <w:tabs>
          <w:tab w:val="num" w:pos="2392"/>
        </w:tabs>
        <w:ind w:left="2392" w:hanging="360"/>
      </w:pPr>
      <w:rPr>
        <w:rFonts w:ascii="Wingdings" w:hAnsi="Wingdings" w:hint="default"/>
      </w:rPr>
    </w:lvl>
    <w:lvl w:ilvl="3" w:tplc="04090001" w:tentative="1">
      <w:start w:val="1"/>
      <w:numFmt w:val="bullet"/>
      <w:lvlText w:val=""/>
      <w:lvlJc w:val="left"/>
      <w:pPr>
        <w:tabs>
          <w:tab w:val="num" w:pos="3112"/>
        </w:tabs>
        <w:ind w:left="3112" w:hanging="360"/>
      </w:pPr>
      <w:rPr>
        <w:rFonts w:ascii="Symbol" w:hAnsi="Symbol" w:hint="default"/>
      </w:rPr>
    </w:lvl>
    <w:lvl w:ilvl="4" w:tplc="04090003" w:tentative="1">
      <w:start w:val="1"/>
      <w:numFmt w:val="bullet"/>
      <w:lvlText w:val="o"/>
      <w:lvlJc w:val="left"/>
      <w:pPr>
        <w:tabs>
          <w:tab w:val="num" w:pos="3832"/>
        </w:tabs>
        <w:ind w:left="3832" w:hanging="360"/>
      </w:pPr>
      <w:rPr>
        <w:rFonts w:ascii="Courier New" w:hAnsi="Courier New" w:cs="Courier New" w:hint="default"/>
      </w:rPr>
    </w:lvl>
    <w:lvl w:ilvl="5" w:tplc="04090005" w:tentative="1">
      <w:start w:val="1"/>
      <w:numFmt w:val="bullet"/>
      <w:lvlText w:val=""/>
      <w:lvlJc w:val="left"/>
      <w:pPr>
        <w:tabs>
          <w:tab w:val="num" w:pos="4552"/>
        </w:tabs>
        <w:ind w:left="4552" w:hanging="360"/>
      </w:pPr>
      <w:rPr>
        <w:rFonts w:ascii="Wingdings" w:hAnsi="Wingdings" w:hint="default"/>
      </w:rPr>
    </w:lvl>
    <w:lvl w:ilvl="6" w:tplc="04090001" w:tentative="1">
      <w:start w:val="1"/>
      <w:numFmt w:val="bullet"/>
      <w:lvlText w:val=""/>
      <w:lvlJc w:val="left"/>
      <w:pPr>
        <w:tabs>
          <w:tab w:val="num" w:pos="5272"/>
        </w:tabs>
        <w:ind w:left="5272" w:hanging="360"/>
      </w:pPr>
      <w:rPr>
        <w:rFonts w:ascii="Symbol" w:hAnsi="Symbol" w:hint="default"/>
      </w:rPr>
    </w:lvl>
    <w:lvl w:ilvl="7" w:tplc="04090003" w:tentative="1">
      <w:start w:val="1"/>
      <w:numFmt w:val="bullet"/>
      <w:lvlText w:val="o"/>
      <w:lvlJc w:val="left"/>
      <w:pPr>
        <w:tabs>
          <w:tab w:val="num" w:pos="5992"/>
        </w:tabs>
        <w:ind w:left="5992" w:hanging="360"/>
      </w:pPr>
      <w:rPr>
        <w:rFonts w:ascii="Courier New" w:hAnsi="Courier New" w:cs="Courier New" w:hint="default"/>
      </w:rPr>
    </w:lvl>
    <w:lvl w:ilvl="8" w:tplc="04090005" w:tentative="1">
      <w:start w:val="1"/>
      <w:numFmt w:val="bullet"/>
      <w:lvlText w:val=""/>
      <w:lvlJc w:val="left"/>
      <w:pPr>
        <w:tabs>
          <w:tab w:val="num" w:pos="6712"/>
        </w:tabs>
        <w:ind w:left="6712" w:hanging="360"/>
      </w:pPr>
      <w:rPr>
        <w:rFonts w:ascii="Wingdings" w:hAnsi="Wingdings" w:hint="default"/>
      </w:rPr>
    </w:lvl>
  </w:abstractNum>
  <w:abstractNum w:abstractNumId="16" w15:restartNumberingAfterBreak="0">
    <w:nsid w:val="43666AB6"/>
    <w:multiLevelType w:val="hybridMultilevel"/>
    <w:tmpl w:val="8102BE0A"/>
    <w:lvl w:ilvl="0" w:tplc="41CA75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E53107"/>
    <w:multiLevelType w:val="hybridMultilevel"/>
    <w:tmpl w:val="510A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26474D"/>
    <w:multiLevelType w:val="singleLevel"/>
    <w:tmpl w:val="2A5EE4B0"/>
    <w:lvl w:ilvl="0">
      <w:start w:val="1"/>
      <w:numFmt w:val="upperLetter"/>
      <w:lvlText w:val="%1."/>
      <w:lvlJc w:val="left"/>
      <w:pPr>
        <w:tabs>
          <w:tab w:val="num" w:pos="1440"/>
        </w:tabs>
        <w:ind w:left="1440" w:hanging="720"/>
      </w:pPr>
      <w:rPr>
        <w:rFonts w:hint="default"/>
      </w:rPr>
    </w:lvl>
  </w:abstractNum>
  <w:abstractNum w:abstractNumId="19" w15:restartNumberingAfterBreak="0">
    <w:nsid w:val="481042D6"/>
    <w:multiLevelType w:val="hybridMultilevel"/>
    <w:tmpl w:val="7690E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FD1141"/>
    <w:multiLevelType w:val="hybridMultilevel"/>
    <w:tmpl w:val="E9A056F0"/>
    <w:lvl w:ilvl="0" w:tplc="ECE00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017E77"/>
    <w:multiLevelType w:val="hybridMultilevel"/>
    <w:tmpl w:val="FA401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570F8D"/>
    <w:multiLevelType w:val="hybridMultilevel"/>
    <w:tmpl w:val="99E201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D334702"/>
    <w:multiLevelType w:val="hybridMultilevel"/>
    <w:tmpl w:val="9886C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B41792"/>
    <w:multiLevelType w:val="hybridMultilevel"/>
    <w:tmpl w:val="D724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03325"/>
    <w:multiLevelType w:val="multilevel"/>
    <w:tmpl w:val="4566B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955234C"/>
    <w:multiLevelType w:val="hybridMultilevel"/>
    <w:tmpl w:val="B458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8220AC"/>
    <w:multiLevelType w:val="singleLevel"/>
    <w:tmpl w:val="3FE8FC72"/>
    <w:lvl w:ilvl="0">
      <w:start w:val="1"/>
      <w:numFmt w:val="decimal"/>
      <w:lvlText w:val="%1."/>
      <w:lvlJc w:val="left"/>
      <w:pPr>
        <w:tabs>
          <w:tab w:val="num" w:pos="2160"/>
        </w:tabs>
        <w:ind w:left="2160" w:hanging="720"/>
      </w:pPr>
      <w:rPr>
        <w:rFonts w:hint="default"/>
      </w:rPr>
    </w:lvl>
  </w:abstractNum>
  <w:abstractNum w:abstractNumId="28" w15:restartNumberingAfterBreak="0">
    <w:nsid w:val="76474799"/>
    <w:multiLevelType w:val="hybridMultilevel"/>
    <w:tmpl w:val="16D2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923EC"/>
    <w:multiLevelType w:val="hybridMultilevel"/>
    <w:tmpl w:val="86BC7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0"/>
  </w:num>
  <w:num w:numId="4">
    <w:abstractNumId w:val="15"/>
  </w:num>
  <w:num w:numId="5">
    <w:abstractNumId w:val="28"/>
  </w:num>
  <w:num w:numId="6">
    <w:abstractNumId w:val="16"/>
  </w:num>
  <w:num w:numId="7">
    <w:abstractNumId w:val="25"/>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8"/>
  </w:num>
  <w:num w:numId="22">
    <w:abstractNumId w:val="1"/>
  </w:num>
  <w:num w:numId="23">
    <w:abstractNumId w:val="0"/>
  </w:num>
  <w:num w:numId="24">
    <w:abstractNumId w:val="6"/>
  </w:num>
  <w:num w:numId="25">
    <w:abstractNumId w:val="23"/>
  </w:num>
  <w:num w:numId="26">
    <w:abstractNumId w:val="5"/>
  </w:num>
  <w:num w:numId="27">
    <w:abstractNumId w:val="7"/>
  </w:num>
  <w:num w:numId="28">
    <w:abstractNumId w:val="13"/>
  </w:num>
  <w:num w:numId="29">
    <w:abstractNumId w:val="9"/>
  </w:num>
  <w:num w:numId="30">
    <w:abstractNumId w:val="20"/>
  </w:num>
  <w:num w:numId="31">
    <w:abstractNumId w:val="12"/>
  </w:num>
  <w:num w:numId="32">
    <w:abstractNumId w:val="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7"/>
  </w:num>
  <w:num w:numId="36">
    <w:abstractNumId w:val="3"/>
  </w:num>
  <w:num w:numId="37">
    <w:abstractNumId w:val="4"/>
  </w:num>
  <w:num w:numId="38">
    <w:abstractNumId w:val="19"/>
  </w:num>
  <w:num w:numId="39">
    <w:abstractNumId w:val="11"/>
  </w:num>
  <w:num w:numId="40">
    <w:abstractNumId w:val="14"/>
  </w:num>
  <w:num w:numId="41">
    <w:abstractNumId w:val="21"/>
  </w:num>
  <w:num w:numId="42">
    <w:abstractNumId w:val="26"/>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41"/>
    <w:rsid w:val="000020D9"/>
    <w:rsid w:val="000320E2"/>
    <w:rsid w:val="000365FF"/>
    <w:rsid w:val="00040D31"/>
    <w:rsid w:val="00045E3A"/>
    <w:rsid w:val="000471DE"/>
    <w:rsid w:val="000523C3"/>
    <w:rsid w:val="0005439B"/>
    <w:rsid w:val="000564EA"/>
    <w:rsid w:val="00065348"/>
    <w:rsid w:val="00071373"/>
    <w:rsid w:val="000924A6"/>
    <w:rsid w:val="00093BE2"/>
    <w:rsid w:val="000A3ECF"/>
    <w:rsid w:val="000A7917"/>
    <w:rsid w:val="000B0929"/>
    <w:rsid w:val="000B1A01"/>
    <w:rsid w:val="000B636A"/>
    <w:rsid w:val="000C52C0"/>
    <w:rsid w:val="000D7213"/>
    <w:rsid w:val="000E3885"/>
    <w:rsid w:val="000E5FAF"/>
    <w:rsid w:val="000F25C2"/>
    <w:rsid w:val="000F4E4E"/>
    <w:rsid w:val="00101B55"/>
    <w:rsid w:val="00105ACE"/>
    <w:rsid w:val="00106020"/>
    <w:rsid w:val="00114C5A"/>
    <w:rsid w:val="00132521"/>
    <w:rsid w:val="001476A3"/>
    <w:rsid w:val="00154C79"/>
    <w:rsid w:val="00157B39"/>
    <w:rsid w:val="00163107"/>
    <w:rsid w:val="00176559"/>
    <w:rsid w:val="00184788"/>
    <w:rsid w:val="00187BB7"/>
    <w:rsid w:val="0019460C"/>
    <w:rsid w:val="00195B9F"/>
    <w:rsid w:val="001B2941"/>
    <w:rsid w:val="001D2C4D"/>
    <w:rsid w:val="001E2D7F"/>
    <w:rsid w:val="001E6879"/>
    <w:rsid w:val="00200955"/>
    <w:rsid w:val="0020144E"/>
    <w:rsid w:val="00210796"/>
    <w:rsid w:val="002239D0"/>
    <w:rsid w:val="00223FCC"/>
    <w:rsid w:val="00252237"/>
    <w:rsid w:val="002536DF"/>
    <w:rsid w:val="00255FFE"/>
    <w:rsid w:val="002562A6"/>
    <w:rsid w:val="00256F24"/>
    <w:rsid w:val="0026351D"/>
    <w:rsid w:val="00266FBE"/>
    <w:rsid w:val="00274C17"/>
    <w:rsid w:val="00280099"/>
    <w:rsid w:val="00282DBF"/>
    <w:rsid w:val="002900E8"/>
    <w:rsid w:val="002A1AD8"/>
    <w:rsid w:val="002C586F"/>
    <w:rsid w:val="002C6B8C"/>
    <w:rsid w:val="002D1B21"/>
    <w:rsid w:val="002D2885"/>
    <w:rsid w:val="002D7569"/>
    <w:rsid w:val="002E18CC"/>
    <w:rsid w:val="002E22E9"/>
    <w:rsid w:val="002F4E40"/>
    <w:rsid w:val="00303B6E"/>
    <w:rsid w:val="003061B1"/>
    <w:rsid w:val="00306FA5"/>
    <w:rsid w:val="00314AC6"/>
    <w:rsid w:val="00324B90"/>
    <w:rsid w:val="00332125"/>
    <w:rsid w:val="003332D2"/>
    <w:rsid w:val="00333A51"/>
    <w:rsid w:val="00334467"/>
    <w:rsid w:val="00346A9D"/>
    <w:rsid w:val="00347FE6"/>
    <w:rsid w:val="00362938"/>
    <w:rsid w:val="003632AE"/>
    <w:rsid w:val="003741D3"/>
    <w:rsid w:val="00383616"/>
    <w:rsid w:val="0038729F"/>
    <w:rsid w:val="00395C46"/>
    <w:rsid w:val="00396F9E"/>
    <w:rsid w:val="0039775B"/>
    <w:rsid w:val="003A5483"/>
    <w:rsid w:val="003B11CC"/>
    <w:rsid w:val="003D1B75"/>
    <w:rsid w:val="003F4012"/>
    <w:rsid w:val="003F58FC"/>
    <w:rsid w:val="00401061"/>
    <w:rsid w:val="00401FA6"/>
    <w:rsid w:val="00413099"/>
    <w:rsid w:val="00413E95"/>
    <w:rsid w:val="0044006C"/>
    <w:rsid w:val="004542CA"/>
    <w:rsid w:val="0045627F"/>
    <w:rsid w:val="00456CEE"/>
    <w:rsid w:val="00460381"/>
    <w:rsid w:val="0046648C"/>
    <w:rsid w:val="0047709B"/>
    <w:rsid w:val="00477568"/>
    <w:rsid w:val="0048506D"/>
    <w:rsid w:val="00490D10"/>
    <w:rsid w:val="00492B04"/>
    <w:rsid w:val="004A1716"/>
    <w:rsid w:val="004A4C4F"/>
    <w:rsid w:val="004B0AED"/>
    <w:rsid w:val="004B4AC6"/>
    <w:rsid w:val="004D2690"/>
    <w:rsid w:val="004D2CBB"/>
    <w:rsid w:val="004D563C"/>
    <w:rsid w:val="004E17BD"/>
    <w:rsid w:val="004E5234"/>
    <w:rsid w:val="0050234B"/>
    <w:rsid w:val="0051152D"/>
    <w:rsid w:val="00532F79"/>
    <w:rsid w:val="00534A03"/>
    <w:rsid w:val="0053707B"/>
    <w:rsid w:val="0054747A"/>
    <w:rsid w:val="00552462"/>
    <w:rsid w:val="00562A66"/>
    <w:rsid w:val="00571F7A"/>
    <w:rsid w:val="00572A20"/>
    <w:rsid w:val="00580220"/>
    <w:rsid w:val="005901E7"/>
    <w:rsid w:val="005A27B7"/>
    <w:rsid w:val="005A626E"/>
    <w:rsid w:val="005C3AB8"/>
    <w:rsid w:val="005C6723"/>
    <w:rsid w:val="005E1675"/>
    <w:rsid w:val="005E375C"/>
    <w:rsid w:val="005F2961"/>
    <w:rsid w:val="00615484"/>
    <w:rsid w:val="00623A97"/>
    <w:rsid w:val="00624579"/>
    <w:rsid w:val="006312AD"/>
    <w:rsid w:val="0063352E"/>
    <w:rsid w:val="006338F1"/>
    <w:rsid w:val="0064702C"/>
    <w:rsid w:val="00650EB9"/>
    <w:rsid w:val="006637F8"/>
    <w:rsid w:val="006676EB"/>
    <w:rsid w:val="006739C2"/>
    <w:rsid w:val="00673ED6"/>
    <w:rsid w:val="00680536"/>
    <w:rsid w:val="006919D1"/>
    <w:rsid w:val="00691D32"/>
    <w:rsid w:val="006B15C7"/>
    <w:rsid w:val="006B2634"/>
    <w:rsid w:val="006B5C73"/>
    <w:rsid w:val="006D2427"/>
    <w:rsid w:val="006D4098"/>
    <w:rsid w:val="006E39E2"/>
    <w:rsid w:val="006E7263"/>
    <w:rsid w:val="006E7BD1"/>
    <w:rsid w:val="006F0482"/>
    <w:rsid w:val="006F59B7"/>
    <w:rsid w:val="0070598A"/>
    <w:rsid w:val="00711D28"/>
    <w:rsid w:val="00723C34"/>
    <w:rsid w:val="00730E11"/>
    <w:rsid w:val="00745EE3"/>
    <w:rsid w:val="00753788"/>
    <w:rsid w:val="0075758D"/>
    <w:rsid w:val="007762DE"/>
    <w:rsid w:val="007768C0"/>
    <w:rsid w:val="00782359"/>
    <w:rsid w:val="00790C3D"/>
    <w:rsid w:val="007915AB"/>
    <w:rsid w:val="007B1003"/>
    <w:rsid w:val="007C1D3C"/>
    <w:rsid w:val="007C2CD9"/>
    <w:rsid w:val="007C7311"/>
    <w:rsid w:val="007D3E7A"/>
    <w:rsid w:val="007D5732"/>
    <w:rsid w:val="007F0C08"/>
    <w:rsid w:val="007F3C43"/>
    <w:rsid w:val="007F47EB"/>
    <w:rsid w:val="007F5326"/>
    <w:rsid w:val="007F597A"/>
    <w:rsid w:val="00800DBE"/>
    <w:rsid w:val="00804727"/>
    <w:rsid w:val="008075E1"/>
    <w:rsid w:val="008162EC"/>
    <w:rsid w:val="00821C40"/>
    <w:rsid w:val="00822122"/>
    <w:rsid w:val="008265CA"/>
    <w:rsid w:val="008274C8"/>
    <w:rsid w:val="00832DD4"/>
    <w:rsid w:val="00833978"/>
    <w:rsid w:val="00841B16"/>
    <w:rsid w:val="00843E84"/>
    <w:rsid w:val="008448CC"/>
    <w:rsid w:val="00856E0F"/>
    <w:rsid w:val="00860D8B"/>
    <w:rsid w:val="00861025"/>
    <w:rsid w:val="00864D34"/>
    <w:rsid w:val="0088210A"/>
    <w:rsid w:val="008825E0"/>
    <w:rsid w:val="0088551E"/>
    <w:rsid w:val="00897265"/>
    <w:rsid w:val="008A1B90"/>
    <w:rsid w:val="008A239E"/>
    <w:rsid w:val="008A4740"/>
    <w:rsid w:val="008A7F95"/>
    <w:rsid w:val="008C2006"/>
    <w:rsid w:val="008C392C"/>
    <w:rsid w:val="008C402C"/>
    <w:rsid w:val="008D1990"/>
    <w:rsid w:val="008D2CA8"/>
    <w:rsid w:val="008E0C1A"/>
    <w:rsid w:val="008F14D1"/>
    <w:rsid w:val="0090684A"/>
    <w:rsid w:val="00910276"/>
    <w:rsid w:val="00913058"/>
    <w:rsid w:val="00931A9A"/>
    <w:rsid w:val="009463D2"/>
    <w:rsid w:val="009464E3"/>
    <w:rsid w:val="00950480"/>
    <w:rsid w:val="009525AF"/>
    <w:rsid w:val="00953737"/>
    <w:rsid w:val="009571D2"/>
    <w:rsid w:val="009615F4"/>
    <w:rsid w:val="00961906"/>
    <w:rsid w:val="00970101"/>
    <w:rsid w:val="009806F6"/>
    <w:rsid w:val="00991CD4"/>
    <w:rsid w:val="009B06CA"/>
    <w:rsid w:val="009C3096"/>
    <w:rsid w:val="009C62DA"/>
    <w:rsid w:val="009E60D5"/>
    <w:rsid w:val="009F02A9"/>
    <w:rsid w:val="009F143E"/>
    <w:rsid w:val="009F2AEF"/>
    <w:rsid w:val="009F3CAC"/>
    <w:rsid w:val="009F4663"/>
    <w:rsid w:val="00A031AA"/>
    <w:rsid w:val="00A0605A"/>
    <w:rsid w:val="00A06F33"/>
    <w:rsid w:val="00A07084"/>
    <w:rsid w:val="00A13CC1"/>
    <w:rsid w:val="00A252DB"/>
    <w:rsid w:val="00A2799F"/>
    <w:rsid w:val="00A31C5A"/>
    <w:rsid w:val="00A51091"/>
    <w:rsid w:val="00A512CB"/>
    <w:rsid w:val="00A6635C"/>
    <w:rsid w:val="00A7058E"/>
    <w:rsid w:val="00A7463F"/>
    <w:rsid w:val="00A81A21"/>
    <w:rsid w:val="00A824AC"/>
    <w:rsid w:val="00A833DC"/>
    <w:rsid w:val="00A92EF3"/>
    <w:rsid w:val="00AB49E0"/>
    <w:rsid w:val="00AC0496"/>
    <w:rsid w:val="00AC2977"/>
    <w:rsid w:val="00AD41CD"/>
    <w:rsid w:val="00AD468A"/>
    <w:rsid w:val="00AE2C71"/>
    <w:rsid w:val="00AE60B0"/>
    <w:rsid w:val="00B1593B"/>
    <w:rsid w:val="00B26D37"/>
    <w:rsid w:val="00B47B29"/>
    <w:rsid w:val="00B545C0"/>
    <w:rsid w:val="00B5535F"/>
    <w:rsid w:val="00B6315F"/>
    <w:rsid w:val="00B74787"/>
    <w:rsid w:val="00B75CE2"/>
    <w:rsid w:val="00B7631C"/>
    <w:rsid w:val="00B87781"/>
    <w:rsid w:val="00B930A8"/>
    <w:rsid w:val="00B93572"/>
    <w:rsid w:val="00B97A4B"/>
    <w:rsid w:val="00BA213E"/>
    <w:rsid w:val="00BA260E"/>
    <w:rsid w:val="00BA59E7"/>
    <w:rsid w:val="00BB21F2"/>
    <w:rsid w:val="00BB6BB0"/>
    <w:rsid w:val="00BB7684"/>
    <w:rsid w:val="00BC30F1"/>
    <w:rsid w:val="00BC4268"/>
    <w:rsid w:val="00BC47CC"/>
    <w:rsid w:val="00BD0651"/>
    <w:rsid w:val="00BD1226"/>
    <w:rsid w:val="00BD6CBD"/>
    <w:rsid w:val="00BE2847"/>
    <w:rsid w:val="00BE368E"/>
    <w:rsid w:val="00BE5707"/>
    <w:rsid w:val="00BF16FA"/>
    <w:rsid w:val="00BF327A"/>
    <w:rsid w:val="00BF4CB9"/>
    <w:rsid w:val="00BF6F81"/>
    <w:rsid w:val="00C11F96"/>
    <w:rsid w:val="00C2346B"/>
    <w:rsid w:val="00C33F57"/>
    <w:rsid w:val="00C54B84"/>
    <w:rsid w:val="00C61C57"/>
    <w:rsid w:val="00C76026"/>
    <w:rsid w:val="00C76499"/>
    <w:rsid w:val="00C80F7C"/>
    <w:rsid w:val="00C82B41"/>
    <w:rsid w:val="00CA58A4"/>
    <w:rsid w:val="00CA5ADA"/>
    <w:rsid w:val="00CB4EC4"/>
    <w:rsid w:val="00CC3C79"/>
    <w:rsid w:val="00CF0FF9"/>
    <w:rsid w:val="00D014C7"/>
    <w:rsid w:val="00D02B3C"/>
    <w:rsid w:val="00D07BA4"/>
    <w:rsid w:val="00D21029"/>
    <w:rsid w:val="00D23576"/>
    <w:rsid w:val="00D237B2"/>
    <w:rsid w:val="00D25168"/>
    <w:rsid w:val="00D2597A"/>
    <w:rsid w:val="00D25BB3"/>
    <w:rsid w:val="00D36303"/>
    <w:rsid w:val="00D37C25"/>
    <w:rsid w:val="00D4071A"/>
    <w:rsid w:val="00D54149"/>
    <w:rsid w:val="00D55E1F"/>
    <w:rsid w:val="00D7474F"/>
    <w:rsid w:val="00D76BA7"/>
    <w:rsid w:val="00D827A1"/>
    <w:rsid w:val="00D9185D"/>
    <w:rsid w:val="00DA4552"/>
    <w:rsid w:val="00DB17B1"/>
    <w:rsid w:val="00DB7A34"/>
    <w:rsid w:val="00DD001E"/>
    <w:rsid w:val="00DD4F44"/>
    <w:rsid w:val="00DD7744"/>
    <w:rsid w:val="00DE1F1A"/>
    <w:rsid w:val="00DE5C14"/>
    <w:rsid w:val="00DF5450"/>
    <w:rsid w:val="00E05432"/>
    <w:rsid w:val="00E12C9F"/>
    <w:rsid w:val="00E5077A"/>
    <w:rsid w:val="00E51DDA"/>
    <w:rsid w:val="00E67F0D"/>
    <w:rsid w:val="00E700DD"/>
    <w:rsid w:val="00E7164B"/>
    <w:rsid w:val="00E73DFA"/>
    <w:rsid w:val="00E73F54"/>
    <w:rsid w:val="00E7511A"/>
    <w:rsid w:val="00E92B48"/>
    <w:rsid w:val="00E93184"/>
    <w:rsid w:val="00E97C9A"/>
    <w:rsid w:val="00EA717A"/>
    <w:rsid w:val="00EB3796"/>
    <w:rsid w:val="00EC3C08"/>
    <w:rsid w:val="00ED55D8"/>
    <w:rsid w:val="00ED7112"/>
    <w:rsid w:val="00EE7398"/>
    <w:rsid w:val="00EF1AAC"/>
    <w:rsid w:val="00EF59AC"/>
    <w:rsid w:val="00F354B6"/>
    <w:rsid w:val="00F36DC2"/>
    <w:rsid w:val="00F36F20"/>
    <w:rsid w:val="00F41FAB"/>
    <w:rsid w:val="00F440A8"/>
    <w:rsid w:val="00F5401F"/>
    <w:rsid w:val="00F65F14"/>
    <w:rsid w:val="00F66D5E"/>
    <w:rsid w:val="00F81403"/>
    <w:rsid w:val="00F8382A"/>
    <w:rsid w:val="00F839AE"/>
    <w:rsid w:val="00F875EA"/>
    <w:rsid w:val="00FA08FB"/>
    <w:rsid w:val="00FB0F31"/>
    <w:rsid w:val="00FB15FB"/>
    <w:rsid w:val="00FB3216"/>
    <w:rsid w:val="00FB5340"/>
    <w:rsid w:val="00FD0D51"/>
    <w:rsid w:val="00FD118E"/>
    <w:rsid w:val="00FD5C60"/>
    <w:rsid w:val="00FD5C91"/>
    <w:rsid w:val="00FE05B9"/>
    <w:rsid w:val="00FE20C0"/>
    <w:rsid w:val="00FE7A31"/>
    <w:rsid w:val="00FF6B1D"/>
    <w:rsid w:val="0134E76A"/>
    <w:rsid w:val="02A85D8F"/>
    <w:rsid w:val="02CC0A10"/>
    <w:rsid w:val="058AB7F0"/>
    <w:rsid w:val="1096E3D2"/>
    <w:rsid w:val="11A4EC04"/>
    <w:rsid w:val="136BD2BC"/>
    <w:rsid w:val="1ECD2B58"/>
    <w:rsid w:val="21E3D166"/>
    <w:rsid w:val="23811442"/>
    <w:rsid w:val="2564E8E5"/>
    <w:rsid w:val="2AA547ED"/>
    <w:rsid w:val="2D81730A"/>
    <w:rsid w:val="371BA26D"/>
    <w:rsid w:val="41484761"/>
    <w:rsid w:val="466180A4"/>
    <w:rsid w:val="536705F9"/>
    <w:rsid w:val="57254182"/>
    <w:rsid w:val="5751273A"/>
    <w:rsid w:val="59A46C6E"/>
    <w:rsid w:val="5CF3D3CC"/>
    <w:rsid w:val="60433304"/>
    <w:rsid w:val="62E146CE"/>
    <w:rsid w:val="6811FCEB"/>
    <w:rsid w:val="6A6E93D5"/>
    <w:rsid w:val="6E1CB51C"/>
    <w:rsid w:val="708EA67D"/>
    <w:rsid w:val="74CB90BA"/>
    <w:rsid w:val="74EA6B50"/>
    <w:rsid w:val="7A8FCF78"/>
    <w:rsid w:val="7E988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94C241A"/>
  <w15:docId w15:val="{8070EA50-F122-45A1-9C18-7E29A943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4E3"/>
    <w:rPr>
      <w:sz w:val="24"/>
    </w:rPr>
  </w:style>
  <w:style w:type="paragraph" w:styleId="Heading1">
    <w:name w:val="heading 1"/>
    <w:basedOn w:val="Normal"/>
    <w:next w:val="Normal"/>
    <w:qFormat/>
    <w:rsid w:val="009464E3"/>
    <w:pPr>
      <w:keepNext/>
      <w:numPr>
        <w:numId w:val="8"/>
      </w:numPr>
      <w:outlineLvl w:val="0"/>
    </w:pPr>
    <w:rPr>
      <w:b/>
    </w:rPr>
  </w:style>
  <w:style w:type="paragraph" w:styleId="Heading2">
    <w:name w:val="heading 2"/>
    <w:basedOn w:val="Normal"/>
    <w:next w:val="Normal"/>
    <w:qFormat/>
    <w:rsid w:val="009464E3"/>
    <w:pPr>
      <w:keepNext/>
      <w:numPr>
        <w:ilvl w:val="1"/>
        <w:numId w:val="8"/>
      </w:numPr>
      <w:outlineLvl w:val="1"/>
    </w:pPr>
    <w:rPr>
      <w:b/>
      <w:u w:val="single"/>
    </w:rPr>
  </w:style>
  <w:style w:type="paragraph" w:styleId="Heading3">
    <w:name w:val="heading 3"/>
    <w:basedOn w:val="Normal"/>
    <w:next w:val="Normal"/>
    <w:link w:val="Heading3Char"/>
    <w:uiPriority w:val="9"/>
    <w:semiHidden/>
    <w:unhideWhenUsed/>
    <w:qFormat/>
    <w:rsid w:val="0088551E"/>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9464E3"/>
    <w:pPr>
      <w:keepNext/>
      <w:numPr>
        <w:ilvl w:val="3"/>
        <w:numId w:val="8"/>
      </w:numPr>
      <w:tabs>
        <w:tab w:val="left" w:pos="1242"/>
      </w:tabs>
      <w:outlineLvl w:val="3"/>
    </w:pPr>
    <w:rPr>
      <w:rFonts w:ascii="CG Times" w:hAnsi="CG Times"/>
      <w:i/>
    </w:rPr>
  </w:style>
  <w:style w:type="paragraph" w:styleId="Heading5">
    <w:name w:val="heading 5"/>
    <w:basedOn w:val="Normal"/>
    <w:next w:val="Normal"/>
    <w:link w:val="Heading5Char"/>
    <w:uiPriority w:val="9"/>
    <w:semiHidden/>
    <w:unhideWhenUsed/>
    <w:qFormat/>
    <w:rsid w:val="0088551E"/>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551E"/>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551E"/>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551E"/>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551E"/>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64E3"/>
    <w:pPr>
      <w:spacing w:line="480" w:lineRule="auto"/>
      <w:jc w:val="center"/>
    </w:pPr>
    <w:rPr>
      <w:rFonts w:ascii="Arial" w:hAnsi="Arial"/>
      <w:b/>
    </w:rPr>
  </w:style>
  <w:style w:type="paragraph" w:styleId="Header">
    <w:name w:val="header"/>
    <w:basedOn w:val="Normal"/>
    <w:rsid w:val="009464E3"/>
    <w:pPr>
      <w:tabs>
        <w:tab w:val="center" w:pos="4320"/>
        <w:tab w:val="right" w:pos="8640"/>
      </w:tabs>
    </w:pPr>
  </w:style>
  <w:style w:type="paragraph" w:styleId="Footer">
    <w:name w:val="footer"/>
    <w:basedOn w:val="Normal"/>
    <w:rsid w:val="009464E3"/>
    <w:pPr>
      <w:tabs>
        <w:tab w:val="center" w:pos="4320"/>
        <w:tab w:val="right" w:pos="8640"/>
      </w:tabs>
    </w:pPr>
  </w:style>
  <w:style w:type="character" w:styleId="PageNumber">
    <w:name w:val="page number"/>
    <w:basedOn w:val="DefaultParagraphFont"/>
    <w:rsid w:val="009464E3"/>
  </w:style>
  <w:style w:type="paragraph" w:styleId="BalloonText">
    <w:name w:val="Balloon Text"/>
    <w:basedOn w:val="Normal"/>
    <w:semiHidden/>
    <w:rsid w:val="009464E3"/>
    <w:rPr>
      <w:rFonts w:ascii="Tahoma" w:hAnsi="Tahoma" w:cs="Tahoma"/>
      <w:sz w:val="16"/>
      <w:szCs w:val="16"/>
    </w:rPr>
  </w:style>
  <w:style w:type="character" w:styleId="Strong">
    <w:name w:val="Strong"/>
    <w:basedOn w:val="DefaultParagraphFont"/>
    <w:uiPriority w:val="22"/>
    <w:qFormat/>
    <w:rsid w:val="009464E3"/>
    <w:rPr>
      <w:b/>
      <w:bCs/>
    </w:rPr>
  </w:style>
  <w:style w:type="paragraph" w:styleId="BlockText">
    <w:name w:val="Block Text"/>
    <w:basedOn w:val="Normal"/>
    <w:rsid w:val="009464E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hanging="720"/>
    </w:pPr>
  </w:style>
  <w:style w:type="paragraph" w:styleId="BodyTextIndent2">
    <w:name w:val="Body Text Indent 2"/>
    <w:basedOn w:val="Normal"/>
    <w:link w:val="BodyTextIndent2Char"/>
    <w:rsid w:val="009464E3"/>
    <w:pPr>
      <w:ind w:left="1440" w:hanging="720"/>
    </w:pPr>
  </w:style>
  <w:style w:type="paragraph" w:customStyle="1" w:styleId="TxBrt1">
    <w:name w:val="TxBr_t1"/>
    <w:basedOn w:val="Normal"/>
    <w:rsid w:val="009464E3"/>
    <w:pPr>
      <w:widowControl w:val="0"/>
      <w:spacing w:line="226" w:lineRule="atLeast"/>
    </w:pPr>
  </w:style>
  <w:style w:type="paragraph" w:styleId="FootnoteText">
    <w:name w:val="footnote text"/>
    <w:aliases w:val="fn,Footnote Text Char Char,Footnote Text Char1 Char,Footnote Text Char Char Char,Footnote Text Char Char1,Footnote Text Char1 Char Char Char1,Footnote Text Char Char Char Char Char1,Wider footnotes,ft Char,Footnote Text Char1 Char1,Car"/>
    <w:basedOn w:val="Normal"/>
    <w:link w:val="FootnoteTextChar"/>
    <w:uiPriority w:val="99"/>
    <w:semiHidden/>
    <w:rsid w:val="009464E3"/>
    <w:rPr>
      <w:sz w:val="20"/>
    </w:rPr>
  </w:style>
  <w:style w:type="character" w:styleId="FootnoteReference">
    <w:name w:val="footnote reference"/>
    <w:aliases w:val="fr,o"/>
    <w:basedOn w:val="DefaultParagraphFont"/>
    <w:uiPriority w:val="99"/>
    <w:semiHidden/>
    <w:rsid w:val="009464E3"/>
    <w:rPr>
      <w:vertAlign w:val="superscript"/>
    </w:rPr>
  </w:style>
  <w:style w:type="paragraph" w:styleId="ListParagraph">
    <w:name w:val="List Paragraph"/>
    <w:basedOn w:val="Normal"/>
    <w:uiPriority w:val="34"/>
    <w:qFormat/>
    <w:rsid w:val="00223FCC"/>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aliases w:val="fn Char,Footnote Text Char Char Char1,Footnote Text Char1 Char Char,Footnote Text Char Char Char Char,Footnote Text Char Char1 Char,Footnote Text Char1 Char Char Char1 Char,Footnote Text Char Char Char Char Char1 Char,ft Char Char"/>
    <w:basedOn w:val="DefaultParagraphFont"/>
    <w:link w:val="FootnoteText"/>
    <w:uiPriority w:val="99"/>
    <w:semiHidden/>
    <w:rsid w:val="00065348"/>
  </w:style>
  <w:style w:type="character" w:customStyle="1" w:styleId="BodyTextIndent2Char">
    <w:name w:val="Body Text Indent 2 Char"/>
    <w:link w:val="BodyTextIndent2"/>
    <w:rsid w:val="000471DE"/>
    <w:rPr>
      <w:sz w:val="24"/>
    </w:rPr>
  </w:style>
  <w:style w:type="character" w:customStyle="1" w:styleId="Heading3Char">
    <w:name w:val="Heading 3 Char"/>
    <w:basedOn w:val="DefaultParagraphFont"/>
    <w:link w:val="Heading3"/>
    <w:uiPriority w:val="9"/>
    <w:semiHidden/>
    <w:rsid w:val="0088551E"/>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uiPriority w:val="9"/>
    <w:semiHidden/>
    <w:rsid w:val="0088551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8551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8551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855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551E"/>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8825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381"/>
    <w:rPr>
      <w:sz w:val="16"/>
      <w:szCs w:val="16"/>
    </w:rPr>
  </w:style>
  <w:style w:type="paragraph" w:styleId="CommentText">
    <w:name w:val="annotation text"/>
    <w:basedOn w:val="Normal"/>
    <w:link w:val="CommentTextChar"/>
    <w:uiPriority w:val="99"/>
    <w:semiHidden/>
    <w:unhideWhenUsed/>
    <w:rsid w:val="00460381"/>
    <w:rPr>
      <w:sz w:val="20"/>
    </w:rPr>
  </w:style>
  <w:style w:type="character" w:customStyle="1" w:styleId="CommentTextChar">
    <w:name w:val="Comment Text Char"/>
    <w:basedOn w:val="DefaultParagraphFont"/>
    <w:link w:val="CommentText"/>
    <w:uiPriority w:val="99"/>
    <w:semiHidden/>
    <w:rsid w:val="00460381"/>
  </w:style>
  <w:style w:type="paragraph" w:styleId="CommentSubject">
    <w:name w:val="annotation subject"/>
    <w:basedOn w:val="CommentText"/>
    <w:next w:val="CommentText"/>
    <w:link w:val="CommentSubjectChar"/>
    <w:uiPriority w:val="99"/>
    <w:semiHidden/>
    <w:unhideWhenUsed/>
    <w:rsid w:val="00460381"/>
    <w:rPr>
      <w:b/>
      <w:bCs/>
    </w:rPr>
  </w:style>
  <w:style w:type="character" w:customStyle="1" w:styleId="CommentSubjectChar">
    <w:name w:val="Comment Subject Char"/>
    <w:basedOn w:val="CommentTextChar"/>
    <w:link w:val="CommentSubject"/>
    <w:uiPriority w:val="99"/>
    <w:semiHidden/>
    <w:rsid w:val="00460381"/>
    <w:rPr>
      <w:b/>
      <w:bCs/>
    </w:rPr>
  </w:style>
  <w:style w:type="paragraph" w:styleId="ListBullet">
    <w:name w:val="List Bullet"/>
    <w:aliases w:val="C. List Bullet"/>
    <w:basedOn w:val="Normal"/>
    <w:uiPriority w:val="99"/>
    <w:unhideWhenUsed/>
    <w:qFormat/>
    <w:rsid w:val="00FE05B9"/>
    <w:pPr>
      <w:numPr>
        <w:numId w:val="22"/>
      </w:numPr>
      <w:tabs>
        <w:tab w:val="left" w:pos="576"/>
      </w:tabs>
      <w:spacing w:line="276" w:lineRule="auto"/>
      <w:contextualSpacing/>
    </w:pPr>
    <w:rPr>
      <w:rFonts w:ascii="Arial" w:eastAsiaTheme="minorHAnsi" w:hAnsi="Arial" w:cstheme="minorBidi"/>
      <w:sz w:val="18"/>
      <w:szCs w:val="22"/>
    </w:rPr>
  </w:style>
  <w:style w:type="paragraph" w:styleId="ListNumber">
    <w:name w:val="List Number"/>
    <w:aliases w:val="C. List Number"/>
    <w:basedOn w:val="Normal"/>
    <w:uiPriority w:val="99"/>
    <w:unhideWhenUsed/>
    <w:qFormat/>
    <w:rsid w:val="00FE05B9"/>
    <w:pPr>
      <w:numPr>
        <w:numId w:val="23"/>
      </w:numPr>
      <w:spacing w:line="276" w:lineRule="auto"/>
      <w:ind w:left="576" w:hanging="216"/>
      <w:contextualSpacing/>
    </w:pPr>
    <w:rPr>
      <w:rFonts w:ascii="Arial" w:eastAsiaTheme="minorHAnsi" w:hAnsi="Arial" w:cstheme="minorBidi"/>
      <w:sz w:val="18"/>
      <w:szCs w:val="22"/>
      <w:lang w:val="en"/>
    </w:rPr>
  </w:style>
  <w:style w:type="table" w:customStyle="1" w:styleId="CLEAResultTable">
    <w:name w:val="CLEAResult Table"/>
    <w:basedOn w:val="TableGrid1"/>
    <w:uiPriority w:val="99"/>
    <w:rsid w:val="008A7F95"/>
    <w:rPr>
      <w:rFonts w:ascii="Arial" w:eastAsiaTheme="minorHAnsi" w:hAnsi="Arial" w:cstheme="minorBidi"/>
      <w:szCs w:val="16"/>
    </w:rPr>
    <w:tblPr>
      <w:tblStyleRowBandSize w:val="1"/>
      <w:tblStyleColBandSize w:val="1"/>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CellMar>
        <w:top w:w="29" w:type="dxa"/>
        <w:left w:w="72" w:type="dxa"/>
        <w:bottom w:w="29" w:type="dxa"/>
        <w:right w:w="72" w:type="dxa"/>
      </w:tblCellMar>
    </w:tblPr>
    <w:tcPr>
      <w:shd w:val="clear" w:color="auto" w:fill="auto"/>
      <w:vAlign w:val="center"/>
    </w:tcPr>
    <w:tblStylePr w:type="firstRow">
      <w:pPr>
        <w:jc w:val="left"/>
      </w:pPr>
      <w:rPr>
        <w:b/>
        <w:color w:val="FFFFFF" w:themeColor="background1"/>
        <w:sz w:val="20"/>
      </w:rPr>
      <w:tblPr/>
      <w:tcPr>
        <w:shd w:val="clear" w:color="auto" w:fill="007299"/>
      </w:tcPr>
    </w:tblStylePr>
    <w:tblStylePr w:type="lastRow">
      <w:pPr>
        <w:jc w:val="center"/>
      </w:pPr>
      <w:rPr>
        <w:b/>
        <w:i w:val="0"/>
        <w:iCs/>
        <w:color w:val="000000" w:themeColor="text1"/>
      </w:rPr>
      <w:tblPr/>
      <w:tcPr>
        <w:tcBorders>
          <w:tl2br w:val="none" w:sz="0" w:space="0" w:color="auto"/>
          <w:tr2bl w:val="none" w:sz="0" w:space="0" w:color="auto"/>
        </w:tcBorders>
        <w:shd w:val="clear" w:color="auto" w:fill="EFE9E5"/>
      </w:tcPr>
    </w:tblStylePr>
    <w:tblStylePr w:type="firstCol">
      <w:pPr>
        <w:jc w:val="center"/>
      </w:pPr>
      <w:tblPr/>
      <w:tcPr>
        <w:shd w:val="clear" w:color="auto" w:fill="F4CE00"/>
      </w:tcPr>
    </w:tblStylePr>
    <w:tblStylePr w:type="lastCol">
      <w:rPr>
        <w:b/>
        <w:i w:val="0"/>
        <w:iCs/>
      </w:rPr>
      <w:tblPr/>
      <w:tcPr>
        <w:tcBorders>
          <w:tl2br w:val="none" w:sz="0" w:space="0" w:color="auto"/>
          <w:tr2bl w:val="none" w:sz="0" w:space="0" w:color="auto"/>
        </w:tcBorders>
        <w:shd w:val="clear" w:color="auto" w:fill="EFE9E5"/>
      </w:tcPr>
    </w:tblStylePr>
  </w:style>
  <w:style w:type="table" w:styleId="TableGrid1">
    <w:name w:val="Table Grid 1"/>
    <w:basedOn w:val="TableNormal"/>
    <w:uiPriority w:val="99"/>
    <w:semiHidden/>
    <w:unhideWhenUsed/>
    <w:rsid w:val="008A7F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basedOn w:val="Normal"/>
    <w:link w:val="BodyTextChar"/>
    <w:uiPriority w:val="99"/>
    <w:unhideWhenUsed/>
    <w:rsid w:val="00864D34"/>
    <w:pPr>
      <w:spacing w:after="120"/>
    </w:pPr>
  </w:style>
  <w:style w:type="character" w:customStyle="1" w:styleId="BodyTextChar">
    <w:name w:val="Body Text Char"/>
    <w:basedOn w:val="DefaultParagraphFont"/>
    <w:link w:val="BodyText"/>
    <w:uiPriority w:val="99"/>
    <w:rsid w:val="00864D34"/>
    <w:rPr>
      <w:sz w:val="24"/>
    </w:rPr>
  </w:style>
  <w:style w:type="character" w:customStyle="1" w:styleId="benefit-detail-text">
    <w:name w:val="benefit-detail-text"/>
    <w:basedOn w:val="DefaultParagraphFont"/>
    <w:rsid w:val="00864D34"/>
  </w:style>
  <w:style w:type="character" w:styleId="Hyperlink">
    <w:name w:val="Hyperlink"/>
    <w:basedOn w:val="DefaultParagraphFont"/>
    <w:uiPriority w:val="99"/>
    <w:unhideWhenUsed/>
    <w:rsid w:val="00AC0496"/>
    <w:rPr>
      <w:color w:val="0000FF" w:themeColor="hyperlink"/>
      <w:u w:val="single"/>
    </w:rPr>
  </w:style>
  <w:style w:type="paragraph" w:styleId="Revision">
    <w:name w:val="Revision"/>
    <w:hidden/>
    <w:uiPriority w:val="99"/>
    <w:semiHidden/>
    <w:rsid w:val="00623A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5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D3B9175FDD0D4CA01D71CF5BFFE531" ma:contentTypeVersion="4" ma:contentTypeDescription="Create a new document." ma:contentTypeScope="" ma:versionID="f89b5847d0b808115ae5d81c1799aced">
  <xsd:schema xmlns:xsd="http://www.w3.org/2001/XMLSchema" xmlns:xs="http://www.w3.org/2001/XMLSchema" xmlns:p="http://schemas.microsoft.com/office/2006/metadata/properties" xmlns:ns2="8f0f0920-aa1a-42a8-b997-e1578e293031" xmlns:ns3="d22dd81b-e7b9-457b-be9f-99f2bc3de0af" targetNamespace="http://schemas.microsoft.com/office/2006/metadata/properties" ma:root="true" ma:fieldsID="7e4642e942744aaa3d3bbdbc0f5f498e" ns2:_="" ns3:_="">
    <xsd:import namespace="8f0f0920-aa1a-42a8-b997-e1578e293031"/>
    <xsd:import namespace="d22dd81b-e7b9-457b-be9f-99f2bc3de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f0920-aa1a-42a8-b997-e1578e293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dd81b-e7b9-457b-be9f-99f2bc3de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1948-3435-4D01-A6C7-A362D252D170}">
  <ds:schemaRefs>
    <ds:schemaRef ds:uri="http://schemas.microsoft.com/sharepoint/v3/contenttype/forms"/>
  </ds:schemaRefs>
</ds:datastoreItem>
</file>

<file path=customXml/itemProps2.xml><?xml version="1.0" encoding="utf-8"?>
<ds:datastoreItem xmlns:ds="http://schemas.openxmlformats.org/officeDocument/2006/customXml" ds:itemID="{685309ED-75E8-4888-90B3-8867F0CCE9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9FF60-F073-4A21-91F7-3BD02BFDC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f0920-aa1a-42a8-b997-e1578e293031"/>
    <ds:schemaRef ds:uri="d22dd81b-e7b9-457b-be9f-99f2bc3de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958EA-46B5-4FB4-AAE4-66030618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BEFORE THE</vt:lpstr>
    </vt:vector>
  </TitlesOfParts>
  <Company>Entergy Corporation</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nraphie</dc:creator>
  <cp:lastModifiedBy>Madeline Thomas</cp:lastModifiedBy>
  <cp:revision>2</cp:revision>
  <cp:lastPrinted>2019-03-06T13:13:00Z</cp:lastPrinted>
  <dcterms:created xsi:type="dcterms:W3CDTF">2019-04-10T19:16:00Z</dcterms:created>
  <dcterms:modified xsi:type="dcterms:W3CDTF">2019-04-10T19:16:00Z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0x010100CAD3B9175FDD0D4CA01D71CF5BFFE531</vt:lpwstr>
  </property>
</Properties>
</file>