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B7F" w:rsidRDefault="00F16F49">
      <w:pPr>
        <w:rPr>
          <w:rFonts w:ascii="Calibri" w:eastAsia="Times New Roman" w:hAnsi="Calibri" w:cs="Calibri"/>
          <w:color w:val="000000"/>
        </w:rPr>
      </w:pPr>
      <w:bookmarkStart w:id="0" w:name="_GoBack"/>
      <w:bookmarkEnd w:id="0"/>
      <w:r>
        <w:rPr>
          <w:rFonts w:ascii="Calibri" w:eastAsia="Times New Roman" w:hAnsi="Calibri" w:cs="Calibri"/>
          <w:color w:val="000000"/>
        </w:rPr>
        <w:t>Rate Design Market Potential – Entergy New Orleans</w:t>
      </w:r>
    </w:p>
    <w:p w:rsidR="00E95B7F" w:rsidRDefault="00E95B7F">
      <w:pPr>
        <w:rPr>
          <w:rFonts w:ascii="Calibri" w:eastAsia="Times New Roman" w:hAnsi="Calibri" w:cs="Calibri"/>
          <w:color w:val="000000"/>
        </w:rPr>
      </w:pPr>
    </w:p>
    <w:p w:rsidR="00E95B7F" w:rsidRDefault="00F16F49">
      <w:pPr>
        <w:rPr>
          <w:rFonts w:ascii="Calibri" w:eastAsia="Times New Roman" w:hAnsi="Calibri" w:cs="Calibri"/>
          <w:color w:val="000000"/>
        </w:rPr>
      </w:pPr>
      <w:r>
        <w:rPr>
          <w:rFonts w:ascii="Calibri" w:eastAsia="Times New Roman" w:hAnsi="Calibri" w:cs="Calibri"/>
          <w:color w:val="000000"/>
        </w:rPr>
        <w:t>We analyzed five different revenue neutral rate designs to estimate how changes in electric prices would affect overall consumption and peak demand. To do so, we rely on existing evidence on customer response to changes in prices and participation trends f</w:t>
      </w:r>
      <w:r>
        <w:rPr>
          <w:rFonts w:ascii="Calibri" w:eastAsia="Times New Roman" w:hAnsi="Calibri" w:cs="Calibri"/>
          <w:color w:val="000000"/>
        </w:rPr>
        <w:t xml:space="preserve">rom similar rate designs. </w:t>
      </w:r>
    </w:p>
    <w:p w:rsidR="00E95B7F" w:rsidRDefault="00E95B7F">
      <w:pPr>
        <w:rPr>
          <w:rFonts w:ascii="Calibri" w:eastAsia="Times New Roman" w:hAnsi="Calibri" w:cs="Calibri"/>
          <w:color w:val="000000"/>
        </w:rPr>
      </w:pPr>
    </w:p>
    <w:p w:rsidR="00E95B7F" w:rsidRDefault="00F16F49">
      <w:pPr>
        <w:numPr>
          <w:ilvl w:val="0"/>
          <w:numId w:val="2"/>
        </w:numPr>
        <w:rPr>
          <w:rFonts w:ascii="Calibri" w:eastAsia="Times New Roman" w:hAnsi="Calibri" w:cs="Calibri"/>
          <w:color w:val="000000"/>
        </w:rPr>
      </w:pPr>
      <w:r>
        <w:rPr>
          <w:rFonts w:ascii="Calibri" w:eastAsia="Times New Roman" w:hAnsi="Calibri" w:cs="Calibri"/>
          <w:color w:val="000000"/>
        </w:rPr>
        <w:t>Key question: What are the potential energy and demand savings from changes in electric rate structures?</w:t>
      </w:r>
    </w:p>
    <w:p w:rsidR="00E95B7F" w:rsidRDefault="00F16F49">
      <w:pPr>
        <w:numPr>
          <w:ilvl w:val="0"/>
          <w:numId w:val="2"/>
        </w:numPr>
        <w:rPr>
          <w:rFonts w:ascii="Calibri" w:eastAsia="Times New Roman" w:hAnsi="Calibri" w:cs="Calibri"/>
          <w:color w:val="000000"/>
        </w:rPr>
      </w:pPr>
      <w:r>
        <w:rPr>
          <w:rFonts w:ascii="Calibri" w:eastAsia="Times New Roman" w:hAnsi="Calibri" w:cs="Calibri"/>
          <w:color w:val="000000"/>
        </w:rPr>
        <w:t>Method: Design revenue neutral rate structures intended to provide customers with actionable price signals to shift or redu</w:t>
      </w:r>
      <w:r>
        <w:rPr>
          <w:rFonts w:ascii="Calibri" w:eastAsia="Times New Roman" w:hAnsi="Calibri" w:cs="Calibri"/>
          <w:color w:val="000000"/>
        </w:rPr>
        <w:t>ce consumption</w:t>
      </w:r>
    </w:p>
    <w:p w:rsidR="00E95B7F" w:rsidRDefault="00F16F49">
      <w:pPr>
        <w:numPr>
          <w:ilvl w:val="1"/>
          <w:numId w:val="2"/>
        </w:numPr>
        <w:rPr>
          <w:rFonts w:ascii="Calibri" w:eastAsia="Times New Roman" w:hAnsi="Calibri" w:cs="Calibri"/>
          <w:color w:val="000000"/>
        </w:rPr>
      </w:pPr>
      <w:r>
        <w:rPr>
          <w:rFonts w:ascii="Calibri" w:eastAsia="Times New Roman" w:hAnsi="Calibri" w:cs="Calibri"/>
          <w:color w:val="000000"/>
        </w:rPr>
        <w:t xml:space="preserve">Relies on price response results from previous studies to estimate changes in consumption </w:t>
      </w:r>
    </w:p>
    <w:p w:rsidR="00E95B7F" w:rsidRDefault="00F16F49">
      <w:pPr>
        <w:numPr>
          <w:ilvl w:val="1"/>
          <w:numId w:val="2"/>
        </w:numPr>
        <w:rPr>
          <w:rFonts w:ascii="Calibri" w:eastAsia="Times New Roman" w:hAnsi="Calibri" w:cs="Calibri"/>
          <w:color w:val="000000"/>
        </w:rPr>
      </w:pPr>
      <w:r>
        <w:rPr>
          <w:rFonts w:ascii="Calibri" w:eastAsia="Times New Roman" w:hAnsi="Calibri" w:cs="Calibri"/>
          <w:color w:val="000000"/>
        </w:rPr>
        <w:t>Analyses uses load research sample (provided by Entergy) and revenue/sales data from 2018 FERC Form 1</w:t>
      </w:r>
    </w:p>
    <w:p w:rsidR="00E95B7F" w:rsidRDefault="00F16F49">
      <w:pPr>
        <w:numPr>
          <w:ilvl w:val="1"/>
          <w:numId w:val="2"/>
        </w:numPr>
        <w:rPr>
          <w:rFonts w:ascii="Calibri" w:eastAsia="Times New Roman" w:hAnsi="Calibri" w:cs="Calibri"/>
          <w:color w:val="000000"/>
        </w:rPr>
      </w:pPr>
      <w:r>
        <w:rPr>
          <w:rFonts w:ascii="Calibri" w:eastAsia="Times New Roman" w:hAnsi="Calibri" w:cs="Calibri"/>
          <w:color w:val="000000"/>
        </w:rPr>
        <w:t>Only covers residential customer class</w:t>
      </w:r>
    </w:p>
    <w:p w:rsidR="00E95B7F" w:rsidRDefault="00F16F49">
      <w:pPr>
        <w:numPr>
          <w:ilvl w:val="0"/>
          <w:numId w:val="3"/>
        </w:numPr>
        <w:rPr>
          <w:rFonts w:ascii="Calibri" w:eastAsia="Times New Roman" w:hAnsi="Calibri" w:cs="Calibri"/>
          <w:color w:val="000000"/>
        </w:rPr>
      </w:pPr>
      <w:r>
        <w:rPr>
          <w:rFonts w:ascii="Calibri" w:eastAsia="Times New Roman" w:hAnsi="Calibri" w:cs="Calibri"/>
          <w:color w:val="000000"/>
        </w:rPr>
        <w:t xml:space="preserve">Existing </w:t>
      </w:r>
      <w:r>
        <w:rPr>
          <w:rFonts w:ascii="Calibri" w:eastAsia="Times New Roman" w:hAnsi="Calibri" w:cs="Calibri"/>
          <w:color w:val="000000"/>
        </w:rPr>
        <w:t>rate: two part rate, $8.07/month customer charge, flat summer and declining tiered energy rates</w:t>
      </w:r>
    </w:p>
    <w:p w:rsidR="00E95B7F" w:rsidRDefault="00F16F49">
      <w:pPr>
        <w:numPr>
          <w:ilvl w:val="0"/>
          <w:numId w:val="3"/>
        </w:numPr>
        <w:rPr>
          <w:rFonts w:ascii="Calibri" w:eastAsia="Times New Roman" w:hAnsi="Calibri" w:cs="Calibri"/>
          <w:color w:val="000000"/>
        </w:rPr>
      </w:pPr>
      <w:r>
        <w:rPr>
          <w:rFonts w:ascii="Calibri" w:eastAsia="Times New Roman" w:hAnsi="Calibri" w:cs="Calibri"/>
          <w:color w:val="000000"/>
        </w:rPr>
        <w:t xml:space="preserve">Rates reviewed: </w:t>
      </w:r>
    </w:p>
    <w:p w:rsidR="00E95B7F" w:rsidRDefault="00F16F49">
      <w:pPr>
        <w:numPr>
          <w:ilvl w:val="1"/>
          <w:numId w:val="3"/>
        </w:numPr>
        <w:rPr>
          <w:rFonts w:ascii="Calibri" w:eastAsia="Times New Roman" w:hAnsi="Calibri" w:cs="Calibri"/>
          <w:color w:val="000000"/>
        </w:rPr>
      </w:pPr>
      <w:r>
        <w:rPr>
          <w:rFonts w:ascii="Calibri" w:eastAsia="Times New Roman" w:hAnsi="Calibri" w:cs="Calibri"/>
          <w:color w:val="000000"/>
        </w:rPr>
        <w:t>Time of use rate - $8.07/month customer charge, 2:1 summer to winter peak/off peak ration, 3:1 summer peak to off peak ratio</w:t>
      </w:r>
    </w:p>
    <w:p w:rsidR="00E95B7F" w:rsidRDefault="00F16F49">
      <w:pPr>
        <w:numPr>
          <w:ilvl w:val="1"/>
          <w:numId w:val="3"/>
        </w:numPr>
        <w:rPr>
          <w:rFonts w:ascii="Calibri" w:eastAsia="Times New Roman" w:hAnsi="Calibri" w:cs="Calibri"/>
          <w:color w:val="000000"/>
        </w:rPr>
      </w:pPr>
      <w:r>
        <w:rPr>
          <w:rFonts w:ascii="Calibri" w:eastAsia="Times New Roman" w:hAnsi="Calibri" w:cs="Calibri"/>
          <w:color w:val="000000"/>
        </w:rPr>
        <w:t>Inclining block ra</w:t>
      </w:r>
      <w:r>
        <w:rPr>
          <w:rFonts w:ascii="Calibri" w:eastAsia="Times New Roman" w:hAnsi="Calibri" w:cs="Calibri"/>
          <w:color w:val="000000"/>
        </w:rPr>
        <w:t>te - $8.07/month customer charge, two tier inclining block rate in summer and winter</w:t>
      </w:r>
    </w:p>
    <w:p w:rsidR="00E95B7F" w:rsidRDefault="00F16F49">
      <w:pPr>
        <w:numPr>
          <w:ilvl w:val="1"/>
          <w:numId w:val="3"/>
        </w:numPr>
        <w:rPr>
          <w:rFonts w:ascii="Calibri" w:eastAsia="Times New Roman" w:hAnsi="Calibri" w:cs="Calibri"/>
          <w:color w:val="000000"/>
        </w:rPr>
      </w:pPr>
      <w:r>
        <w:rPr>
          <w:rFonts w:ascii="Calibri" w:eastAsia="Times New Roman" w:hAnsi="Calibri" w:cs="Calibri"/>
          <w:color w:val="000000"/>
        </w:rPr>
        <w:t>Seasonal rate with higher customer charge – two scenarios ($25 and $50/month)</w:t>
      </w:r>
    </w:p>
    <w:p w:rsidR="00E95B7F" w:rsidRDefault="00E95B7F">
      <w:pPr>
        <w:rPr>
          <w:rFonts w:ascii="Calibri" w:eastAsia="Times New Roman" w:hAnsi="Calibri" w:cs="Calibri"/>
          <w:color w:val="000000"/>
        </w:rPr>
      </w:pPr>
    </w:p>
    <w:p w:rsidR="00E95B7F" w:rsidRDefault="00E95B7F">
      <w:pPr>
        <w:rPr>
          <w:rFonts w:ascii="Calibri" w:eastAsia="Times New Roman" w:hAnsi="Calibri" w:cs="Calibri"/>
          <w:color w:val="000000"/>
        </w:rPr>
      </w:pPr>
    </w:p>
    <w:p w:rsidR="00E95B7F" w:rsidRDefault="00F16F49">
      <w:pPr>
        <w:rPr>
          <w:rFonts w:ascii="Calibri" w:eastAsia="Times New Roman" w:hAnsi="Calibri" w:cs="Calibri"/>
          <w:color w:val="000000"/>
        </w:rPr>
      </w:pPr>
      <w:r>
        <w:rPr>
          <w:rFonts w:ascii="Calibri" w:eastAsia="Times New Roman" w:hAnsi="Calibri" w:cs="Calibri"/>
          <w:color w:val="000000"/>
        </w:rPr>
        <w:t>High-level results include: </w:t>
      </w:r>
    </w:p>
    <w:p w:rsidR="00E95B7F" w:rsidRDefault="00F16F49">
      <w:pPr>
        <w:rPr>
          <w:rFonts w:ascii="Calibri" w:eastAsia="Times New Roman" w:hAnsi="Calibri" w:cs="Calibri"/>
          <w:color w:val="000000"/>
        </w:rPr>
      </w:pPr>
      <w:r>
        <w:rPr>
          <w:rFonts w:ascii="Calibri" w:eastAsia="Times New Roman" w:hAnsi="Calibri" w:cs="Calibri"/>
          <w:color w:val="000000"/>
        </w:rPr>
        <w:t> </w:t>
      </w:r>
    </w:p>
    <w:p w:rsidR="00E95B7F" w:rsidRDefault="00F16F49">
      <w:pPr>
        <w:numPr>
          <w:ilvl w:val="0"/>
          <w:numId w:val="1"/>
        </w:numPr>
        <w:rPr>
          <w:rFonts w:ascii="Calibri" w:eastAsia="Times New Roman" w:hAnsi="Calibri" w:cs="Calibri"/>
          <w:color w:val="000000"/>
        </w:rPr>
      </w:pPr>
      <w:r>
        <w:rPr>
          <w:rFonts w:ascii="Calibri" w:eastAsia="Times New Roman" w:hAnsi="Calibri" w:cs="Calibri"/>
          <w:color w:val="000000"/>
        </w:rPr>
        <w:t>Under an optional time of use rate with on and off-peak pric</w:t>
      </w:r>
      <w:r>
        <w:rPr>
          <w:rFonts w:ascii="Calibri" w:eastAsia="Times New Roman" w:hAnsi="Calibri" w:cs="Calibri"/>
          <w:color w:val="000000"/>
        </w:rPr>
        <w:t>ing for both summer and winter, overall consumption declined by 0.5% for the entire class, with a summer peak period reduction of 4.4%. This assumes 25% of customers enroll in the time of use rate while remaining customer stayed on the existing rate. </w:t>
      </w:r>
    </w:p>
    <w:p w:rsidR="00E95B7F" w:rsidRDefault="00F16F49">
      <w:pPr>
        <w:numPr>
          <w:ilvl w:val="0"/>
          <w:numId w:val="1"/>
        </w:numPr>
        <w:rPr>
          <w:rFonts w:ascii="Calibri" w:eastAsia="Times New Roman" w:hAnsi="Calibri" w:cs="Calibri"/>
          <w:color w:val="000000"/>
        </w:rPr>
      </w:pPr>
      <w:r>
        <w:rPr>
          <w:rFonts w:ascii="Calibri" w:eastAsia="Times New Roman" w:hAnsi="Calibri" w:cs="Calibri"/>
          <w:color w:val="000000"/>
        </w:rPr>
        <w:t>If t</w:t>
      </w:r>
      <w:r>
        <w:rPr>
          <w:rFonts w:ascii="Calibri" w:eastAsia="Times New Roman" w:hAnsi="Calibri" w:cs="Calibri"/>
          <w:color w:val="000000"/>
        </w:rPr>
        <w:t>he time of use rate were default instead of optional, we estimate a decrease in overall consumption of 0.9%, with a summer peak period reduction of 7.9%. This assumes 90% of customers stay enrolled in time of use rates and 10% opt back into the existing ra</w:t>
      </w:r>
      <w:r>
        <w:rPr>
          <w:rFonts w:ascii="Calibri" w:eastAsia="Times New Roman" w:hAnsi="Calibri" w:cs="Calibri"/>
          <w:color w:val="000000"/>
        </w:rPr>
        <w:t>te. </w:t>
      </w:r>
    </w:p>
    <w:p w:rsidR="00E95B7F" w:rsidRDefault="00F16F49">
      <w:pPr>
        <w:numPr>
          <w:ilvl w:val="0"/>
          <w:numId w:val="1"/>
        </w:numPr>
        <w:rPr>
          <w:rFonts w:ascii="Calibri" w:eastAsia="Times New Roman" w:hAnsi="Calibri" w:cs="Calibri"/>
          <w:color w:val="000000"/>
        </w:rPr>
      </w:pPr>
      <w:r>
        <w:rPr>
          <w:rFonts w:ascii="Calibri" w:eastAsia="Times New Roman" w:hAnsi="Calibri" w:cs="Calibri"/>
          <w:color w:val="000000"/>
        </w:rPr>
        <w:t>If all customers were moved in an inclining block rate, we estimate a decrease in overall consumption of 2.1%</w:t>
      </w:r>
    </w:p>
    <w:p w:rsidR="00E95B7F" w:rsidRDefault="00F16F49">
      <w:pPr>
        <w:numPr>
          <w:ilvl w:val="0"/>
          <w:numId w:val="1"/>
        </w:numPr>
        <w:rPr>
          <w:rFonts w:ascii="Calibri" w:eastAsia="Times New Roman" w:hAnsi="Calibri" w:cs="Calibri"/>
          <w:color w:val="000000"/>
        </w:rPr>
      </w:pPr>
      <w:r>
        <w:rPr>
          <w:rFonts w:ascii="Calibri" w:eastAsia="Times New Roman" w:hAnsi="Calibri" w:cs="Calibri"/>
          <w:color w:val="000000"/>
        </w:rPr>
        <w:t>If the customer charge on the existing rate for all customers was increased to $25 a month (from the current $8.07 per month), overall consum</w:t>
      </w:r>
      <w:r>
        <w:rPr>
          <w:rFonts w:ascii="Calibri" w:eastAsia="Times New Roman" w:hAnsi="Calibri" w:cs="Calibri"/>
          <w:color w:val="000000"/>
        </w:rPr>
        <w:t>ption would increase by 3.6%. If it were increased to $50, overall consumption could increase by 8.9%.</w:t>
      </w:r>
    </w:p>
    <w:p w:rsidR="00E95B7F" w:rsidRDefault="00F16F49">
      <w:pPr>
        <w:rPr>
          <w:rFonts w:ascii="Calibri" w:eastAsia="Times New Roman" w:hAnsi="Calibri" w:cs="Calibri"/>
          <w:color w:val="000000"/>
        </w:rPr>
      </w:pPr>
      <w:r>
        <w:rPr>
          <w:rFonts w:ascii="Calibri" w:eastAsia="Times New Roman" w:hAnsi="Calibri" w:cs="Calibri"/>
          <w:color w:val="000000"/>
        </w:rPr>
        <w:t> </w:t>
      </w:r>
    </w:p>
    <w:p w:rsidR="00E95B7F" w:rsidRDefault="00F16F49">
      <w:pPr>
        <w:rPr>
          <w:rFonts w:ascii="Calibri" w:eastAsia="Times New Roman" w:hAnsi="Calibri" w:cs="Calibri"/>
          <w:color w:val="000000"/>
        </w:rPr>
      </w:pPr>
      <w:r>
        <w:rPr>
          <w:rFonts w:ascii="Calibri" w:eastAsia="Times New Roman" w:hAnsi="Calibri" w:cs="Calibri"/>
          <w:color w:val="000000"/>
        </w:rPr>
        <w:t xml:space="preserve">Our analysis shows that time of use and inclining block rates would marginally reduce consumption, while also providing a price signal to customers to </w:t>
      </w:r>
      <w:r>
        <w:rPr>
          <w:rFonts w:ascii="Calibri" w:eastAsia="Times New Roman" w:hAnsi="Calibri" w:cs="Calibri"/>
          <w:color w:val="000000"/>
        </w:rPr>
        <w:t xml:space="preserve">engage in energy efficiency </w:t>
      </w:r>
      <w:r>
        <w:rPr>
          <w:rFonts w:ascii="Calibri" w:eastAsia="Times New Roman" w:hAnsi="Calibri" w:cs="Calibri"/>
          <w:color w:val="000000"/>
        </w:rPr>
        <w:lastRenderedPageBreak/>
        <w:t>programs and behavior. The two-part rates with higher customer charges would lead to higher consumption overall and a poor price signal to conserve electricity and engage in energy efficiency programs.</w:t>
      </w:r>
    </w:p>
    <w:p w:rsidR="00E95B7F" w:rsidRDefault="00E95B7F"/>
    <w:sectPr w:rsidR="00E95B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F49" w:rsidRDefault="00F16F49">
      <w:r>
        <w:separator/>
      </w:r>
    </w:p>
  </w:endnote>
  <w:endnote w:type="continuationSeparator" w:id="0">
    <w:p w:rsidR="00F16F49" w:rsidRDefault="00F1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F49" w:rsidRDefault="00F16F49">
      <w:r>
        <w:separator/>
      </w:r>
    </w:p>
  </w:footnote>
  <w:footnote w:type="continuationSeparator" w:id="0">
    <w:p w:rsidR="00F16F49" w:rsidRDefault="00F1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7F" w:rsidRDefault="00F16F49">
    <w:pPr>
      <w:pStyle w:val="Header"/>
      <w:jc w:val="center"/>
      <w:rPr>
        <w:b/>
      </w:rPr>
    </w:pPr>
    <w:r>
      <w:rPr>
        <w:b/>
      </w:rPr>
      <w:t>DRAFT RESULTS – July 9,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BA1"/>
    <w:multiLevelType w:val="hybridMultilevel"/>
    <w:tmpl w:val="63063F68"/>
    <w:lvl w:ilvl="0" w:tplc="534CF406">
      <w:start w:val="1"/>
      <w:numFmt w:val="bullet"/>
      <w:lvlText w:val="•"/>
      <w:lvlJc w:val="left"/>
      <w:pPr>
        <w:tabs>
          <w:tab w:val="num" w:pos="720"/>
        </w:tabs>
        <w:ind w:left="720" w:hanging="360"/>
      </w:pPr>
      <w:rPr>
        <w:rFonts w:ascii="Arial" w:hAnsi="Arial" w:hint="default"/>
      </w:rPr>
    </w:lvl>
    <w:lvl w:ilvl="1" w:tplc="0A942AA2">
      <w:numFmt w:val="bullet"/>
      <w:lvlText w:val="•"/>
      <w:lvlJc w:val="left"/>
      <w:pPr>
        <w:tabs>
          <w:tab w:val="num" w:pos="1440"/>
        </w:tabs>
        <w:ind w:left="1440" w:hanging="360"/>
      </w:pPr>
      <w:rPr>
        <w:rFonts w:ascii="Arial" w:hAnsi="Arial" w:hint="default"/>
      </w:rPr>
    </w:lvl>
    <w:lvl w:ilvl="2" w:tplc="EAB84540" w:tentative="1">
      <w:start w:val="1"/>
      <w:numFmt w:val="bullet"/>
      <w:lvlText w:val="•"/>
      <w:lvlJc w:val="left"/>
      <w:pPr>
        <w:tabs>
          <w:tab w:val="num" w:pos="2160"/>
        </w:tabs>
        <w:ind w:left="2160" w:hanging="360"/>
      </w:pPr>
      <w:rPr>
        <w:rFonts w:ascii="Arial" w:hAnsi="Arial" w:hint="default"/>
      </w:rPr>
    </w:lvl>
    <w:lvl w:ilvl="3" w:tplc="280E109A" w:tentative="1">
      <w:start w:val="1"/>
      <w:numFmt w:val="bullet"/>
      <w:lvlText w:val="•"/>
      <w:lvlJc w:val="left"/>
      <w:pPr>
        <w:tabs>
          <w:tab w:val="num" w:pos="2880"/>
        </w:tabs>
        <w:ind w:left="2880" w:hanging="360"/>
      </w:pPr>
      <w:rPr>
        <w:rFonts w:ascii="Arial" w:hAnsi="Arial" w:hint="default"/>
      </w:rPr>
    </w:lvl>
    <w:lvl w:ilvl="4" w:tplc="692C35B2" w:tentative="1">
      <w:start w:val="1"/>
      <w:numFmt w:val="bullet"/>
      <w:lvlText w:val="•"/>
      <w:lvlJc w:val="left"/>
      <w:pPr>
        <w:tabs>
          <w:tab w:val="num" w:pos="3600"/>
        </w:tabs>
        <w:ind w:left="3600" w:hanging="360"/>
      </w:pPr>
      <w:rPr>
        <w:rFonts w:ascii="Arial" w:hAnsi="Arial" w:hint="default"/>
      </w:rPr>
    </w:lvl>
    <w:lvl w:ilvl="5" w:tplc="5C1038A8" w:tentative="1">
      <w:start w:val="1"/>
      <w:numFmt w:val="bullet"/>
      <w:lvlText w:val="•"/>
      <w:lvlJc w:val="left"/>
      <w:pPr>
        <w:tabs>
          <w:tab w:val="num" w:pos="4320"/>
        </w:tabs>
        <w:ind w:left="4320" w:hanging="360"/>
      </w:pPr>
      <w:rPr>
        <w:rFonts w:ascii="Arial" w:hAnsi="Arial" w:hint="default"/>
      </w:rPr>
    </w:lvl>
    <w:lvl w:ilvl="6" w:tplc="CDDAD3A6" w:tentative="1">
      <w:start w:val="1"/>
      <w:numFmt w:val="bullet"/>
      <w:lvlText w:val="•"/>
      <w:lvlJc w:val="left"/>
      <w:pPr>
        <w:tabs>
          <w:tab w:val="num" w:pos="5040"/>
        </w:tabs>
        <w:ind w:left="5040" w:hanging="360"/>
      </w:pPr>
      <w:rPr>
        <w:rFonts w:ascii="Arial" w:hAnsi="Arial" w:hint="default"/>
      </w:rPr>
    </w:lvl>
    <w:lvl w:ilvl="7" w:tplc="28AA7FF4" w:tentative="1">
      <w:start w:val="1"/>
      <w:numFmt w:val="bullet"/>
      <w:lvlText w:val="•"/>
      <w:lvlJc w:val="left"/>
      <w:pPr>
        <w:tabs>
          <w:tab w:val="num" w:pos="5760"/>
        </w:tabs>
        <w:ind w:left="5760" w:hanging="360"/>
      </w:pPr>
      <w:rPr>
        <w:rFonts w:ascii="Arial" w:hAnsi="Arial" w:hint="default"/>
      </w:rPr>
    </w:lvl>
    <w:lvl w:ilvl="8" w:tplc="140A24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EF0B2B"/>
    <w:multiLevelType w:val="hybridMultilevel"/>
    <w:tmpl w:val="5B7ACC1C"/>
    <w:lvl w:ilvl="0" w:tplc="AEB24D50">
      <w:start w:val="1"/>
      <w:numFmt w:val="bullet"/>
      <w:lvlText w:val="•"/>
      <w:lvlJc w:val="left"/>
      <w:pPr>
        <w:tabs>
          <w:tab w:val="num" w:pos="720"/>
        </w:tabs>
        <w:ind w:left="720" w:hanging="360"/>
      </w:pPr>
      <w:rPr>
        <w:rFonts w:ascii="Arial" w:hAnsi="Arial" w:hint="default"/>
      </w:rPr>
    </w:lvl>
    <w:lvl w:ilvl="1" w:tplc="67CC748E">
      <w:numFmt w:val="bullet"/>
      <w:lvlText w:val="•"/>
      <w:lvlJc w:val="left"/>
      <w:pPr>
        <w:tabs>
          <w:tab w:val="num" w:pos="1440"/>
        </w:tabs>
        <w:ind w:left="1440" w:hanging="360"/>
      </w:pPr>
      <w:rPr>
        <w:rFonts w:ascii="Arial" w:hAnsi="Arial" w:hint="default"/>
      </w:rPr>
    </w:lvl>
    <w:lvl w:ilvl="2" w:tplc="0AD6085A" w:tentative="1">
      <w:start w:val="1"/>
      <w:numFmt w:val="bullet"/>
      <w:lvlText w:val="•"/>
      <w:lvlJc w:val="left"/>
      <w:pPr>
        <w:tabs>
          <w:tab w:val="num" w:pos="2160"/>
        </w:tabs>
        <w:ind w:left="2160" w:hanging="360"/>
      </w:pPr>
      <w:rPr>
        <w:rFonts w:ascii="Arial" w:hAnsi="Arial" w:hint="default"/>
      </w:rPr>
    </w:lvl>
    <w:lvl w:ilvl="3" w:tplc="AE6617C0" w:tentative="1">
      <w:start w:val="1"/>
      <w:numFmt w:val="bullet"/>
      <w:lvlText w:val="•"/>
      <w:lvlJc w:val="left"/>
      <w:pPr>
        <w:tabs>
          <w:tab w:val="num" w:pos="2880"/>
        </w:tabs>
        <w:ind w:left="2880" w:hanging="360"/>
      </w:pPr>
      <w:rPr>
        <w:rFonts w:ascii="Arial" w:hAnsi="Arial" w:hint="default"/>
      </w:rPr>
    </w:lvl>
    <w:lvl w:ilvl="4" w:tplc="60425750" w:tentative="1">
      <w:start w:val="1"/>
      <w:numFmt w:val="bullet"/>
      <w:lvlText w:val="•"/>
      <w:lvlJc w:val="left"/>
      <w:pPr>
        <w:tabs>
          <w:tab w:val="num" w:pos="3600"/>
        </w:tabs>
        <w:ind w:left="3600" w:hanging="360"/>
      </w:pPr>
      <w:rPr>
        <w:rFonts w:ascii="Arial" w:hAnsi="Arial" w:hint="default"/>
      </w:rPr>
    </w:lvl>
    <w:lvl w:ilvl="5" w:tplc="EE281CF0" w:tentative="1">
      <w:start w:val="1"/>
      <w:numFmt w:val="bullet"/>
      <w:lvlText w:val="•"/>
      <w:lvlJc w:val="left"/>
      <w:pPr>
        <w:tabs>
          <w:tab w:val="num" w:pos="4320"/>
        </w:tabs>
        <w:ind w:left="4320" w:hanging="360"/>
      </w:pPr>
      <w:rPr>
        <w:rFonts w:ascii="Arial" w:hAnsi="Arial" w:hint="default"/>
      </w:rPr>
    </w:lvl>
    <w:lvl w:ilvl="6" w:tplc="99C6EA14" w:tentative="1">
      <w:start w:val="1"/>
      <w:numFmt w:val="bullet"/>
      <w:lvlText w:val="•"/>
      <w:lvlJc w:val="left"/>
      <w:pPr>
        <w:tabs>
          <w:tab w:val="num" w:pos="5040"/>
        </w:tabs>
        <w:ind w:left="5040" w:hanging="360"/>
      </w:pPr>
      <w:rPr>
        <w:rFonts w:ascii="Arial" w:hAnsi="Arial" w:hint="default"/>
      </w:rPr>
    </w:lvl>
    <w:lvl w:ilvl="7" w:tplc="9050BB28" w:tentative="1">
      <w:start w:val="1"/>
      <w:numFmt w:val="bullet"/>
      <w:lvlText w:val="•"/>
      <w:lvlJc w:val="left"/>
      <w:pPr>
        <w:tabs>
          <w:tab w:val="num" w:pos="5760"/>
        </w:tabs>
        <w:ind w:left="5760" w:hanging="360"/>
      </w:pPr>
      <w:rPr>
        <w:rFonts w:ascii="Arial" w:hAnsi="Arial" w:hint="default"/>
      </w:rPr>
    </w:lvl>
    <w:lvl w:ilvl="8" w:tplc="7B9C9F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E504FBE"/>
    <w:multiLevelType w:val="multilevel"/>
    <w:tmpl w:val="DC8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7F"/>
    <w:rsid w:val="00753BA1"/>
    <w:rsid w:val="00E95B7F"/>
    <w:rsid w:val="00F16F4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docId w15:val="{3B896197-9992-7546-B37E-FB069535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ListParagraph">
    <w:name w:val="List Paragraph"/>
    <w:basedOn w:val="Normal"/>
    <w:uiPriority w:val="34"/>
    <w:qFormat/>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Lubin, Rebecca J</cp:lastModifiedBy>
  <cp:revision>2</cp:revision>
  <dcterms:created xsi:type="dcterms:W3CDTF">2019-07-10T17:19:00Z</dcterms:created>
  <dcterms:modified xsi:type="dcterms:W3CDTF">2019-07-10T17:19:00Z</dcterms:modified>
</cp:coreProperties>
</file>