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9.0.0 -->
  <w:body>
    <w:p>
      <w:pPr>
        <w:ind w:firstLine="0"/>
        <w:jc w:val="center"/>
        <w:rPr>
          <w:b/>
        </w:rPr>
      </w:pPr>
      <w:bookmarkStart w:id="0" w:name="_GoBack"/>
      <w:bookmarkEnd w:id="0"/>
      <w:r>
        <w:rPr>
          <w:b/>
        </w:rPr>
        <w:t xml:space="preserve">BEFORE THE </w:t>
      </w:r>
    </w:p>
    <w:p>
      <w:pPr>
        <w:ind w:firstLine="0"/>
        <w:jc w:val="center"/>
        <w:rPr>
          <w:b/>
        </w:rPr>
      </w:pPr>
      <w:r>
        <w:rPr>
          <w:b/>
        </w:rPr>
        <w:t>COUNCIL OF THE CITY OF NEW ORLEANS</w:t>
      </w:r>
    </w:p>
    <w:tbl>
      <w:tblPr>
        <w:tblStyle w:val="TableGrid"/>
        <w:tblW w:w="0" w:type="auto"/>
        <w:tblBorders>
          <w:top w:val="nil"/>
          <w:left w:val="nil"/>
          <w:bottom w:val="nil"/>
          <w:right w:val="nil"/>
          <w:insideH w:val="nil"/>
          <w:insideV w:val="nil"/>
        </w:tblBorders>
        <w:tblLook w:val="04A0"/>
      </w:tblPr>
      <w:tblGrid>
        <w:gridCol w:w="4608"/>
        <w:gridCol w:w="450"/>
        <w:gridCol w:w="4518"/>
      </w:tblGrid>
      <w:tr>
        <w:tblPrEx>
          <w:tblW w:w="0" w:type="auto"/>
          <w:tblBorders>
            <w:top w:val="nil"/>
            <w:left w:val="nil"/>
            <w:bottom w:val="nil"/>
            <w:right w:val="nil"/>
            <w:insideH w:val="nil"/>
            <w:insideV w:val="nil"/>
          </w:tblBorders>
          <w:tblLook w:val="04A0"/>
        </w:tblPrEx>
        <w:tc>
          <w:tcPr>
            <w:tcW w:w="4608" w:type="dxa"/>
            <w:vAlign w:val="center"/>
          </w:tcPr>
          <w:p>
            <w:pPr>
              <w:spacing w:after="0"/>
              <w:ind w:firstLine="0"/>
              <w:rPr>
                <w:b/>
              </w:rPr>
            </w:pPr>
            <w:r>
              <w:rPr>
                <w:b/>
              </w:rPr>
              <w:t>IN RE: 2018 TRIENNIAL INTEGRATED RESOURCE PLAN OF ENTERGY NEW ORLEANS, INC.</w:t>
            </w:r>
          </w:p>
        </w:tc>
        <w:tc>
          <w:tcPr>
            <w:tcW w:w="450" w:type="dxa"/>
            <w:vAlign w:val="center"/>
          </w:tcPr>
          <w:p>
            <w:pPr>
              <w:spacing w:after="0"/>
              <w:ind w:firstLine="0"/>
              <w:jc w:val="center"/>
              <w:rPr>
                <w:b/>
              </w:rPr>
            </w:pPr>
            <w:r>
              <w:rPr>
                <w:b/>
              </w:rPr>
              <w:t>)</w:t>
            </w:r>
          </w:p>
          <w:p>
            <w:pPr>
              <w:spacing w:after="0"/>
              <w:ind w:firstLine="0"/>
              <w:jc w:val="center"/>
              <w:rPr>
                <w:b/>
              </w:rPr>
            </w:pPr>
            <w:r>
              <w:rPr>
                <w:b/>
              </w:rPr>
              <w:t>)</w:t>
            </w:r>
          </w:p>
          <w:p>
            <w:pPr>
              <w:spacing w:after="0"/>
              <w:ind w:firstLine="0"/>
              <w:jc w:val="center"/>
              <w:rPr>
                <w:b/>
              </w:rPr>
            </w:pPr>
            <w:r>
              <w:rPr>
                <w:b/>
              </w:rPr>
              <w:t>)</w:t>
            </w:r>
          </w:p>
          <w:p>
            <w:pPr>
              <w:spacing w:after="0"/>
              <w:ind w:firstLine="0"/>
              <w:jc w:val="center"/>
              <w:rPr>
                <w:b/>
              </w:rPr>
            </w:pPr>
            <w:r>
              <w:rPr>
                <w:b/>
              </w:rPr>
              <w:t>)</w:t>
            </w:r>
          </w:p>
        </w:tc>
        <w:tc>
          <w:tcPr>
            <w:tcW w:w="4518" w:type="dxa"/>
            <w:vAlign w:val="center"/>
          </w:tcPr>
          <w:p>
            <w:pPr>
              <w:spacing w:after="0"/>
              <w:ind w:firstLine="0"/>
              <w:rPr>
                <w:b/>
              </w:rPr>
            </w:pPr>
            <w:r>
              <w:rPr>
                <w:b/>
              </w:rPr>
              <w:t>DOCKET NO. UD-17-03</w:t>
            </w:r>
          </w:p>
        </w:tc>
      </w:tr>
    </w:tbl>
    <w:p>
      <w:pPr>
        <w:ind w:firstLine="0"/>
        <w:jc w:val="center"/>
        <w:rPr>
          <w:b/>
        </w:rPr>
      </w:pPr>
    </w:p>
    <w:p>
      <w:pPr>
        <w:spacing w:line="480" w:lineRule="auto"/>
        <w:ind w:firstLine="0"/>
        <w:jc w:val="center"/>
      </w:pPr>
      <w:r>
        <w:rPr>
          <w:b/>
          <w:u w:val="single"/>
        </w:rPr>
        <w:t>ORDER</w:t>
      </w:r>
    </w:p>
    <w:p>
      <w:pPr>
        <w:spacing w:after="0" w:line="480" w:lineRule="auto"/>
        <w:jc w:val="both"/>
      </w:pPr>
      <w:r>
        <w:t xml:space="preserve">On March 16, 2018, the Advisors to the Council of the City of New Orleans ("Advisors") filed a Motion to Extend Procedural Deadlines and accompanying Memorandum in Support requesting that the procedural schedule in this docket be adjusted in order to allow for sufficient time for the Council to execute the contract with the chosen DSM Potential Study consultant, and for the DSM Potential Study consultant to complete the work.  </w:t>
      </w:r>
    </w:p>
    <w:p>
      <w:pPr>
        <w:spacing w:after="0" w:line="480" w:lineRule="auto"/>
        <w:jc w:val="both"/>
      </w:pPr>
      <w:r>
        <w:t xml:space="preserve">Considering the Motion, Memorandum in Support and that no party has objected to the request, the Advisors' Motion is hereby granted and the new procedural deadlines are as follows: </w:t>
      </w:r>
    </w:p>
    <w:tbl>
      <w:tblPr>
        <w:tblStyle w:val="TableGrid1"/>
        <w:tblW w:w="0" w:type="auto"/>
        <w:jc w:val="center"/>
        <w:tblInd w:w="-2175" w:type="dxa"/>
        <w:tblLook w:val="04A0"/>
      </w:tblPr>
      <w:tblGrid>
        <w:gridCol w:w="5467"/>
        <w:gridCol w:w="3655"/>
      </w:tblGrid>
      <w:tr>
        <w:tblPrEx>
          <w:tblW w:w="0" w:type="auto"/>
          <w:jc w:val="center"/>
          <w:tblInd w:w="-2175" w:type="dxa"/>
          <w:tblLook w:val="04A0"/>
        </w:tblPrEx>
        <w:trPr>
          <w:jc w:val="center"/>
        </w:trPr>
        <w:tc>
          <w:tcPr>
            <w:tcW w:w="5467" w:type="dxa"/>
            <w:shd w:val="clear" w:color="auto" w:fill="BFBFBF" w:themeFill="background1" w:themeFillShade="BF"/>
          </w:tcPr>
          <w:p>
            <w:pPr>
              <w:spacing w:after="0"/>
              <w:ind w:firstLine="0"/>
              <w:rPr>
                <w:rFonts w:cs="Times New Roman"/>
                <w:b/>
                <w:szCs w:val="24"/>
              </w:rPr>
            </w:pPr>
            <w:r>
              <w:rPr>
                <w:rFonts w:cs="Times New Roman"/>
                <w:b/>
                <w:szCs w:val="24"/>
              </w:rPr>
              <w:t>Deadline</w:t>
            </w:r>
          </w:p>
        </w:tc>
        <w:tc>
          <w:tcPr>
            <w:tcW w:w="3655" w:type="dxa"/>
            <w:shd w:val="clear" w:color="auto" w:fill="BFBFBF" w:themeFill="background1" w:themeFillShade="BF"/>
          </w:tcPr>
          <w:p>
            <w:pPr>
              <w:spacing w:after="0"/>
              <w:ind w:firstLine="0"/>
              <w:rPr>
                <w:rFonts w:cs="Times New Roman"/>
                <w:b/>
                <w:szCs w:val="24"/>
              </w:rPr>
            </w:pPr>
            <w:r>
              <w:rPr>
                <w:rFonts w:cs="Times New Roman"/>
                <w:b/>
                <w:szCs w:val="24"/>
              </w:rPr>
              <w:t>New Deadline</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The DSM Potential Studies to be submitted in the proceeding shall be completed.</w:t>
            </w:r>
          </w:p>
        </w:tc>
        <w:tc>
          <w:tcPr>
            <w:tcW w:w="3655" w:type="dxa"/>
          </w:tcPr>
          <w:p>
            <w:pPr>
              <w:spacing w:after="0"/>
              <w:ind w:firstLine="0"/>
              <w:rPr>
                <w:rFonts w:cs="Times New Roman"/>
                <w:szCs w:val="24"/>
              </w:rPr>
            </w:pPr>
            <w:r>
              <w:rPr>
                <w:rFonts w:cs="Times New Roman"/>
                <w:szCs w:val="24"/>
              </w:rPr>
              <w:t>August 31, 2018</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Technical Meeting 2 of the Parties, CURO and Advisors shall be held between these dates.</w:t>
            </w:r>
          </w:p>
        </w:tc>
        <w:tc>
          <w:tcPr>
            <w:tcW w:w="3655" w:type="dxa"/>
          </w:tcPr>
          <w:p>
            <w:pPr>
              <w:spacing w:after="0"/>
              <w:ind w:firstLine="0"/>
              <w:rPr>
                <w:rFonts w:cs="Times New Roman"/>
                <w:szCs w:val="24"/>
              </w:rPr>
            </w:pPr>
            <w:r>
              <w:rPr>
                <w:rFonts w:cs="Times New Roman"/>
                <w:szCs w:val="24"/>
              </w:rPr>
              <w:t>Sept. 17-28, 2018</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Last date for the issuance of the council policies that must be included in the optimization process.</w:t>
            </w:r>
          </w:p>
        </w:tc>
        <w:tc>
          <w:tcPr>
            <w:tcW w:w="3655" w:type="dxa"/>
          </w:tcPr>
          <w:p>
            <w:pPr>
              <w:spacing w:after="0"/>
              <w:ind w:firstLine="0"/>
              <w:rPr>
                <w:rFonts w:cs="Times New Roman"/>
                <w:szCs w:val="24"/>
              </w:rPr>
            </w:pPr>
            <w:r>
              <w:rPr>
                <w:rFonts w:cs="Times New Roman"/>
                <w:szCs w:val="24"/>
              </w:rPr>
              <w:t>Oct. 31, 2018</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Technical meeting 3 of the Parties, CURO, and the Advisors shall be held between these dates.</w:t>
            </w:r>
          </w:p>
        </w:tc>
        <w:tc>
          <w:tcPr>
            <w:tcW w:w="3655" w:type="dxa"/>
          </w:tcPr>
          <w:p>
            <w:pPr>
              <w:spacing w:after="0"/>
              <w:ind w:firstLine="0"/>
              <w:rPr>
                <w:rFonts w:cs="Times New Roman"/>
                <w:szCs w:val="24"/>
              </w:rPr>
            </w:pPr>
            <w:r>
              <w:rPr>
                <w:rFonts w:cs="Times New Roman"/>
                <w:szCs w:val="24"/>
              </w:rPr>
              <w:t>Nov. 19-30, 2018</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All IRP inputs shall be finalized.</w:t>
            </w:r>
          </w:p>
        </w:tc>
        <w:tc>
          <w:tcPr>
            <w:tcW w:w="3655" w:type="dxa"/>
          </w:tcPr>
          <w:p>
            <w:pPr>
              <w:spacing w:after="0"/>
              <w:ind w:firstLine="0"/>
              <w:rPr>
                <w:rFonts w:cs="Times New Roman"/>
                <w:szCs w:val="24"/>
              </w:rPr>
            </w:pPr>
            <w:r>
              <w:rPr>
                <w:rFonts w:cs="Times New Roman"/>
                <w:szCs w:val="24"/>
              </w:rPr>
              <w:t>Dec. 7, 2018</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ENO shall complete all optimized portfolio development and results.</w:t>
            </w:r>
          </w:p>
        </w:tc>
        <w:tc>
          <w:tcPr>
            <w:tcW w:w="3655" w:type="dxa"/>
          </w:tcPr>
          <w:p>
            <w:pPr>
              <w:spacing w:after="0"/>
              <w:ind w:firstLine="0"/>
              <w:rPr>
                <w:rFonts w:cs="Times New Roman"/>
                <w:szCs w:val="24"/>
              </w:rPr>
            </w:pPr>
            <w:r>
              <w:rPr>
                <w:rFonts w:cs="Times New Roman"/>
                <w:szCs w:val="24"/>
              </w:rPr>
              <w:t>April 8, 2019</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Technical meeting 4 of the parties, CURO and Advisors shall be held between these dates.</w:t>
            </w:r>
          </w:p>
        </w:tc>
        <w:tc>
          <w:tcPr>
            <w:tcW w:w="3655" w:type="dxa"/>
          </w:tcPr>
          <w:p>
            <w:pPr>
              <w:spacing w:after="0"/>
              <w:ind w:firstLine="0"/>
              <w:rPr>
                <w:rFonts w:cs="Times New Roman"/>
                <w:szCs w:val="24"/>
              </w:rPr>
            </w:pPr>
            <w:r>
              <w:rPr>
                <w:rFonts w:cs="Times New Roman"/>
                <w:szCs w:val="24"/>
              </w:rPr>
              <w:t>April 22-May 3, 2019</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2018 IRP Report shall be filed.</w:t>
            </w:r>
          </w:p>
        </w:tc>
        <w:tc>
          <w:tcPr>
            <w:tcW w:w="3655" w:type="dxa"/>
          </w:tcPr>
          <w:p>
            <w:pPr>
              <w:spacing w:after="0"/>
              <w:ind w:firstLine="0"/>
              <w:rPr>
                <w:rFonts w:cs="Times New Roman"/>
                <w:szCs w:val="24"/>
              </w:rPr>
            </w:pPr>
            <w:r>
              <w:rPr>
                <w:rFonts w:cs="Times New Roman"/>
                <w:szCs w:val="24"/>
              </w:rPr>
              <w:t>July 19, 2019</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The second public meeting shall be held between these dates.</w:t>
            </w:r>
          </w:p>
        </w:tc>
        <w:tc>
          <w:tcPr>
            <w:tcW w:w="3655" w:type="dxa"/>
          </w:tcPr>
          <w:p>
            <w:pPr>
              <w:spacing w:after="0"/>
              <w:ind w:firstLine="0"/>
              <w:rPr>
                <w:rFonts w:cs="Times New Roman"/>
                <w:szCs w:val="24"/>
              </w:rPr>
            </w:pPr>
            <w:r>
              <w:rPr>
                <w:rFonts w:cs="Times New Roman"/>
                <w:szCs w:val="24"/>
              </w:rPr>
              <w:t>July 29-Aug. 9, 2019</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The third public meeting shall be held between these dates.</w:t>
            </w:r>
          </w:p>
        </w:tc>
        <w:tc>
          <w:tcPr>
            <w:tcW w:w="3655" w:type="dxa"/>
          </w:tcPr>
          <w:p>
            <w:pPr>
              <w:spacing w:after="0"/>
              <w:ind w:firstLine="0"/>
              <w:rPr>
                <w:rFonts w:cs="Times New Roman"/>
                <w:szCs w:val="24"/>
              </w:rPr>
            </w:pPr>
            <w:r>
              <w:rPr>
                <w:rFonts w:cs="Times New Roman"/>
                <w:szCs w:val="24"/>
              </w:rPr>
              <w:t>Aug. 28-Sept. 11, 2019</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 xml:space="preserve">Technical meeting 5 of the Parties, CURO, and </w:t>
            </w:r>
            <w:r>
              <w:rPr>
                <w:rFonts w:cs="Times New Roman"/>
                <w:szCs w:val="24"/>
              </w:rPr>
              <w:t>Advisors shall be held between these dates.</w:t>
            </w:r>
          </w:p>
        </w:tc>
        <w:tc>
          <w:tcPr>
            <w:tcW w:w="3655" w:type="dxa"/>
          </w:tcPr>
          <w:p>
            <w:pPr>
              <w:spacing w:after="0"/>
              <w:ind w:firstLine="0"/>
              <w:rPr>
                <w:rFonts w:cs="Times New Roman"/>
                <w:szCs w:val="24"/>
              </w:rPr>
            </w:pPr>
            <w:r>
              <w:rPr>
                <w:rFonts w:cs="Times New Roman"/>
                <w:szCs w:val="24"/>
              </w:rPr>
              <w:t>Aug. 28- Sept. 11, 2019</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Intervenor comments on the Final IRP filing shall be filed.</w:t>
            </w:r>
          </w:p>
        </w:tc>
        <w:tc>
          <w:tcPr>
            <w:tcW w:w="3655" w:type="dxa"/>
          </w:tcPr>
          <w:p>
            <w:pPr>
              <w:spacing w:after="0"/>
              <w:ind w:firstLine="0"/>
              <w:rPr>
                <w:rFonts w:cs="Times New Roman"/>
                <w:szCs w:val="24"/>
              </w:rPr>
            </w:pPr>
            <w:r>
              <w:rPr>
                <w:rFonts w:cs="Times New Roman"/>
                <w:szCs w:val="24"/>
              </w:rPr>
              <w:t>Sept. 16, 2019</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ENO reply comments shall be filed.</w:t>
            </w:r>
          </w:p>
        </w:tc>
        <w:tc>
          <w:tcPr>
            <w:tcW w:w="3655" w:type="dxa"/>
          </w:tcPr>
          <w:p>
            <w:pPr>
              <w:spacing w:after="0"/>
              <w:ind w:firstLine="0"/>
              <w:rPr>
                <w:rFonts w:cs="Times New Roman"/>
                <w:szCs w:val="24"/>
              </w:rPr>
            </w:pPr>
            <w:r>
              <w:rPr>
                <w:rFonts w:cs="Times New Roman"/>
                <w:szCs w:val="24"/>
              </w:rPr>
              <w:t>Oct. 29, 2019</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The Advisor Report shall be filed.</w:t>
            </w:r>
          </w:p>
        </w:tc>
        <w:tc>
          <w:tcPr>
            <w:tcW w:w="3655" w:type="dxa"/>
          </w:tcPr>
          <w:p>
            <w:pPr>
              <w:spacing w:after="0"/>
              <w:ind w:firstLine="0"/>
              <w:rPr>
                <w:rFonts w:cs="Times New Roman"/>
                <w:szCs w:val="24"/>
              </w:rPr>
            </w:pPr>
            <w:r>
              <w:rPr>
                <w:rFonts w:cs="Times New Roman"/>
                <w:szCs w:val="24"/>
              </w:rPr>
              <w:t>Dec. 2, 2019</w:t>
            </w:r>
          </w:p>
        </w:tc>
      </w:tr>
      <w:tr>
        <w:tblPrEx>
          <w:tblW w:w="0" w:type="auto"/>
          <w:jc w:val="center"/>
          <w:tblInd w:w="-2175" w:type="dxa"/>
          <w:tblLook w:val="04A0"/>
        </w:tblPrEx>
        <w:trPr>
          <w:jc w:val="center"/>
        </w:trPr>
        <w:tc>
          <w:tcPr>
            <w:tcW w:w="5467" w:type="dxa"/>
          </w:tcPr>
          <w:p>
            <w:pPr>
              <w:spacing w:after="0"/>
              <w:ind w:firstLine="0"/>
              <w:rPr>
                <w:rFonts w:cs="Times New Roman"/>
                <w:szCs w:val="24"/>
              </w:rPr>
            </w:pPr>
            <w:r>
              <w:rPr>
                <w:rFonts w:cs="Times New Roman"/>
                <w:szCs w:val="24"/>
              </w:rPr>
              <w:t>The Energy Smart Implementation filing for Program Years 10-12 shall be filed.</w:t>
            </w:r>
          </w:p>
        </w:tc>
        <w:tc>
          <w:tcPr>
            <w:tcW w:w="3655" w:type="dxa"/>
          </w:tcPr>
          <w:p>
            <w:pPr>
              <w:spacing w:after="0"/>
              <w:ind w:firstLine="0"/>
              <w:rPr>
                <w:rFonts w:cs="Times New Roman"/>
                <w:szCs w:val="24"/>
              </w:rPr>
            </w:pPr>
            <w:r>
              <w:rPr>
                <w:rFonts w:cs="Times New Roman"/>
                <w:szCs w:val="24"/>
              </w:rPr>
              <w:t>Dec. 9, 2019</w:t>
            </w:r>
          </w:p>
        </w:tc>
      </w:tr>
    </w:tbl>
    <w:p>
      <w:pPr>
        <w:spacing w:line="480" w:lineRule="auto"/>
        <w:rPr>
          <w:rFonts w:cs="Times New Roman"/>
          <w:szCs w:val="24"/>
        </w:rPr>
      </w:pPr>
    </w:p>
    <w:p>
      <w:pPr>
        <w:spacing w:line="480" w:lineRule="auto"/>
        <w:ind w:firstLine="0"/>
        <w:jc w:val="both"/>
      </w:pPr>
      <w:r>
        <w:t xml:space="preserve">SO ORDERED, this _____ day of March, 2018. </w:t>
      </w:r>
    </w:p>
    <w:p>
      <w:pPr>
        <w:spacing w:after="0"/>
        <w:ind w:left="5040" w:firstLine="0"/>
      </w:pPr>
      <w:r>
        <w:rPr>
          <w:u w:val="single"/>
        </w:rPr>
        <w:tab/>
      </w:r>
      <w:r>
        <w:rPr>
          <w:u w:val="single"/>
        </w:rPr>
        <w:tab/>
      </w:r>
      <w:r>
        <w:rPr>
          <w:u w:val="single"/>
        </w:rPr>
        <w:tab/>
      </w:r>
      <w:r>
        <w:rPr>
          <w:u w:val="single"/>
        </w:rPr>
        <w:tab/>
      </w:r>
      <w:r>
        <w:rPr>
          <w:u w:val="single"/>
        </w:rPr>
        <w:tab/>
      </w:r>
    </w:p>
    <w:p>
      <w:pPr>
        <w:spacing w:after="0"/>
        <w:ind w:left="5040" w:firstLine="0"/>
      </w:pPr>
      <w:r>
        <w:t>JEFFREY S. GULIN,</w:t>
      </w:r>
    </w:p>
    <w:p>
      <w:pPr>
        <w:spacing w:after="0"/>
        <w:ind w:left="5040" w:firstLine="0"/>
      </w:pPr>
      <w:r>
        <w:t xml:space="preserve">Hearing Officer </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31107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MacPacTrailer">
    <w:name w:val="MacPac Trailer"/>
    <w:pPr>
      <w:widowControl w:val="0"/>
      <w:spacing w:after="0" w:line="200" w:lineRule="exact"/>
    </w:pPr>
    <w:rPr>
      <w:rFonts w:ascii="Times New Roman" w:eastAsia="Times New Roman" w:hAnsi="Times New Roman" w:cs="Times New Roman"/>
      <w:sz w:val="1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2018-03-23T17:00:58Z</dcterms:created>
  <dcterms:modified xsi:type="dcterms:W3CDTF">2018-03-23T17:00:58Z</dcterms:modified>
</cp:coreProperties>
</file>