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0"/>
        <w:jc w:val="center"/>
        <w:rPr>
          <w:b/>
        </w:rPr>
      </w:pPr>
      <w:bookmarkStart w:id="0" w:name="_GoBack"/>
      <w:bookmarkEnd w:id="0"/>
      <w:r>
        <w:rPr>
          <w:b/>
        </w:rPr>
        <w:t>BEFORE THE</w:t>
      </w:r>
    </w:p>
    <w:p>
      <w:pPr>
        <w:ind w:firstLine="0"/>
        <w:jc w:val="center"/>
        <w:rPr>
          <w:b/>
        </w:rPr>
      </w:pPr>
      <w:r>
        <w:rPr>
          <w:b/>
        </w:rPr>
        <w:t>COUNCIL OF THE CITY OF NEW ORLEANS</w:t>
      </w:r>
    </w:p>
    <w:p>
      <w:pPr>
        <w:ind w:firstLine="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405"/>
      </w:tblGrid>
      <w:tr>
        <w:tc>
          <w:tcPr>
            <w:tcW w:w="4495" w:type="dxa"/>
            <w:vAlign w:val="center"/>
          </w:tcPr>
          <w:p>
            <w:pPr>
              <w:ind w:firstLine="0"/>
              <w:rPr>
                <w:b/>
              </w:rPr>
            </w:pPr>
            <w:r>
              <w:rPr>
                <w:b/>
              </w:rPr>
              <w:t>IN RE: 2021 TRIENNIAL INTEGRATED RESOURCE PLAN OF ENTERGY NEW ORLEANS, LLC</w:t>
            </w:r>
          </w:p>
        </w:tc>
        <w:tc>
          <w:tcPr>
            <w:tcW w:w="450" w:type="dxa"/>
            <w:vAlign w:val="center"/>
          </w:tcPr>
          <w:p>
            <w:pPr>
              <w:ind w:firstLine="0"/>
              <w:jc w:val="center"/>
              <w:rPr>
                <w:b/>
              </w:rPr>
            </w:pPr>
            <w:r>
              <w:rPr>
                <w:b/>
              </w:rPr>
              <w:t>)</w:t>
            </w:r>
          </w:p>
          <w:p>
            <w:pPr>
              <w:ind w:firstLine="0"/>
              <w:jc w:val="center"/>
              <w:rPr>
                <w:b/>
              </w:rPr>
            </w:pPr>
            <w:r>
              <w:rPr>
                <w:b/>
              </w:rPr>
              <w:t>)</w:t>
            </w:r>
          </w:p>
          <w:p>
            <w:pPr>
              <w:ind w:firstLine="0"/>
              <w:jc w:val="center"/>
              <w:rPr>
                <w:b/>
              </w:rPr>
            </w:pPr>
            <w:r>
              <w:rPr>
                <w:b/>
              </w:rPr>
              <w:t>)</w:t>
            </w:r>
          </w:p>
          <w:p>
            <w:pPr>
              <w:ind w:firstLine="0"/>
              <w:jc w:val="center"/>
              <w:rPr>
                <w:b/>
              </w:rPr>
            </w:pPr>
            <w:r>
              <w:rPr>
                <w:b/>
              </w:rPr>
              <w:t>)</w:t>
            </w:r>
          </w:p>
        </w:tc>
        <w:tc>
          <w:tcPr>
            <w:tcW w:w="4405" w:type="dxa"/>
            <w:vAlign w:val="center"/>
          </w:tcPr>
          <w:p>
            <w:pPr>
              <w:ind w:firstLine="0"/>
              <w:jc w:val="center"/>
              <w:rPr>
                <w:b/>
              </w:rPr>
            </w:pPr>
            <w:r>
              <w:rPr>
                <w:b/>
              </w:rPr>
              <w:t>DOCKET NO. UD-20-02</w:t>
            </w:r>
          </w:p>
        </w:tc>
      </w:tr>
    </w:tbl>
    <w:p>
      <w:pPr>
        <w:jc w:val="center"/>
        <w:rPr>
          <w:b/>
        </w:rPr>
      </w:pPr>
    </w:p>
    <w:p>
      <w:pPr>
        <w:ind w:firstLine="0"/>
        <w:jc w:val="center"/>
        <w:rPr>
          <w:b/>
          <w:u w:val="single"/>
        </w:rPr>
      </w:pPr>
      <w:r>
        <w:rPr>
          <w:b/>
          <w:u w:val="single"/>
        </w:rPr>
        <w:t>ORDER</w:t>
      </w:r>
    </w:p>
    <w:p/>
    <w:p>
      <w:pPr>
        <w:spacing w:line="480" w:lineRule="auto"/>
        <w:jc w:val="both"/>
      </w:pPr>
      <w:r>
        <w:t>On February 19, 2021, the Advisors to the Council of the City of New Orleans (“Advisors”) filed a Motion to Extend Procedural Deadlines and accompanying Memorandum in Support requesting that the procedural schedule in this docket be adjusted in order to allow for sufficient time for the Council’s DSM Potential Study consultant to complete the DSM Potential Study.</w:t>
      </w:r>
    </w:p>
    <w:p>
      <w:pPr>
        <w:spacing w:line="480" w:lineRule="auto"/>
        <w:jc w:val="both"/>
      </w:pPr>
      <w:r>
        <w:t>Considering the Motion, Memorandum in Support and [that no party has objected to the request/objections to the request filed by _____].  The Advisors’ Motion is hereby granted and the new procedural schedule deadlines are as follows:</w:t>
      </w:r>
    </w:p>
    <w:tbl>
      <w:tblPr>
        <w:tblStyle w:val="TableGrid2"/>
        <w:tblW w:w="9630" w:type="dxa"/>
        <w:tblInd w:w="-5" w:type="dxa"/>
        <w:tblLook w:val="04A0" w:firstRow="1" w:lastRow="0" w:firstColumn="1" w:lastColumn="0" w:noHBand="0" w:noVBand="1"/>
      </w:tblPr>
      <w:tblGrid>
        <w:gridCol w:w="5028"/>
        <w:gridCol w:w="4602"/>
      </w:tblGrid>
      <w:tr>
        <w:trPr>
          <w:cantSplit/>
          <w:tblHeader/>
        </w:trPr>
        <w:tc>
          <w:tcPr>
            <w:tcW w:w="5028" w:type="dxa"/>
            <w:shd w:val="clear" w:color="auto" w:fill="BFBFBF" w:themeFill="background1" w:themeFillShade="BF"/>
          </w:tcPr>
          <w:p>
            <w:pPr>
              <w:ind w:firstLine="0"/>
              <w:rPr>
                <w:b/>
                <w:u w:val="single"/>
              </w:rPr>
            </w:pPr>
            <w:r>
              <w:rPr>
                <w:b/>
                <w:u w:val="single"/>
              </w:rPr>
              <w:t>Event</w:t>
            </w:r>
          </w:p>
        </w:tc>
        <w:tc>
          <w:tcPr>
            <w:tcW w:w="4602" w:type="dxa"/>
            <w:shd w:val="clear" w:color="auto" w:fill="BFBFBF" w:themeFill="background1" w:themeFillShade="BF"/>
          </w:tcPr>
          <w:p>
            <w:pPr>
              <w:ind w:firstLine="0"/>
            </w:pPr>
            <w:r>
              <w:rPr>
                <w:b/>
                <w:u w:val="single"/>
              </w:rPr>
              <w:t>New Deadline</w:t>
            </w:r>
          </w:p>
        </w:tc>
      </w:tr>
      <w:tr>
        <w:trPr>
          <w:cantSplit/>
        </w:trPr>
        <w:tc>
          <w:tcPr>
            <w:tcW w:w="5028" w:type="dxa"/>
          </w:tcPr>
          <w:p>
            <w:pPr>
              <w:ind w:firstLine="0"/>
            </w:pPr>
            <w:r>
              <w:t>DSM Potential Study due</w:t>
            </w:r>
          </w:p>
        </w:tc>
        <w:tc>
          <w:tcPr>
            <w:tcW w:w="4602" w:type="dxa"/>
          </w:tcPr>
          <w:p>
            <w:pPr>
              <w:ind w:firstLine="0"/>
              <w:rPr>
                <w:color w:val="538135" w:themeColor="accent6" w:themeShade="BF"/>
              </w:rPr>
            </w:pPr>
          </w:p>
        </w:tc>
      </w:tr>
      <w:tr>
        <w:trPr>
          <w:cantSplit/>
        </w:trPr>
        <w:tc>
          <w:tcPr>
            <w:tcW w:w="5028" w:type="dxa"/>
          </w:tcPr>
          <w:p>
            <w:pPr>
              <w:ind w:left="-15" w:firstLine="15"/>
            </w:pPr>
          </w:p>
        </w:tc>
        <w:tc>
          <w:tcPr>
            <w:tcW w:w="4602" w:type="dxa"/>
          </w:tcPr>
          <w:p>
            <w:pPr>
              <w:ind w:firstLine="0"/>
            </w:pPr>
            <w:r>
              <w:t>DSM Achievable Scenarios &amp; Benchmarking circulated to Service List</w:t>
            </w:r>
          </w:p>
          <w:p>
            <w:pPr>
              <w:ind w:firstLine="0"/>
            </w:pPr>
            <w:r>
              <w:t>June 15, 2021</w:t>
            </w:r>
          </w:p>
        </w:tc>
      </w:tr>
      <w:tr>
        <w:trPr>
          <w:cantSplit/>
        </w:trPr>
        <w:tc>
          <w:tcPr>
            <w:tcW w:w="5028" w:type="dxa"/>
          </w:tcPr>
          <w:p>
            <w:pPr>
              <w:ind w:firstLine="0"/>
            </w:pPr>
            <w:r>
              <w:t xml:space="preserve">Technical Meeting 2 </w:t>
            </w:r>
          </w:p>
        </w:tc>
        <w:tc>
          <w:tcPr>
            <w:tcW w:w="4602" w:type="dxa"/>
          </w:tcPr>
          <w:p>
            <w:pPr>
              <w:ind w:firstLine="0"/>
              <w:rPr>
                <w:color w:val="538135" w:themeColor="accent6" w:themeShade="BF"/>
              </w:rPr>
            </w:pPr>
            <w:r>
              <w:t>June 30-July 14, 2021</w:t>
            </w:r>
          </w:p>
        </w:tc>
      </w:tr>
      <w:tr>
        <w:trPr>
          <w:cantSplit/>
        </w:trPr>
        <w:tc>
          <w:tcPr>
            <w:tcW w:w="5028" w:type="dxa"/>
          </w:tcPr>
          <w:p>
            <w:pPr>
              <w:ind w:firstLine="0"/>
            </w:pPr>
          </w:p>
        </w:tc>
        <w:tc>
          <w:tcPr>
            <w:tcW w:w="4602" w:type="dxa"/>
          </w:tcPr>
          <w:p>
            <w:pPr>
              <w:ind w:firstLine="0"/>
            </w:pPr>
            <w:r>
              <w:t>Final DSM Potential Study due</w:t>
            </w:r>
            <w:r>
              <w:br/>
              <w:t>July 30, 2021</w:t>
            </w:r>
          </w:p>
        </w:tc>
      </w:tr>
      <w:tr>
        <w:trPr>
          <w:cantSplit/>
        </w:trPr>
        <w:tc>
          <w:tcPr>
            <w:tcW w:w="5028" w:type="dxa"/>
          </w:tcPr>
          <w:p>
            <w:pPr>
              <w:ind w:firstLine="0"/>
            </w:pPr>
            <w:r>
              <w:t xml:space="preserve">Deadline for new Council policies that can be incorporated </w:t>
            </w:r>
          </w:p>
        </w:tc>
        <w:tc>
          <w:tcPr>
            <w:tcW w:w="4602" w:type="dxa"/>
          </w:tcPr>
          <w:p>
            <w:pPr>
              <w:ind w:firstLine="0"/>
            </w:pPr>
            <w:r>
              <w:t>Aug. 15, 2021</w:t>
            </w:r>
          </w:p>
        </w:tc>
      </w:tr>
      <w:tr>
        <w:trPr>
          <w:cantSplit/>
        </w:trPr>
        <w:tc>
          <w:tcPr>
            <w:tcW w:w="5028" w:type="dxa"/>
          </w:tcPr>
          <w:p>
            <w:pPr>
              <w:ind w:firstLine="0"/>
            </w:pPr>
            <w:r>
              <w:t>Technical Meeting 3</w:t>
            </w:r>
          </w:p>
        </w:tc>
        <w:tc>
          <w:tcPr>
            <w:tcW w:w="4602" w:type="dxa"/>
          </w:tcPr>
          <w:p>
            <w:pPr>
              <w:ind w:firstLine="0"/>
              <w:rPr>
                <w:color w:val="538135" w:themeColor="accent6" w:themeShade="BF"/>
              </w:rPr>
            </w:pPr>
            <w:r>
              <w:t>Aug. 13-26, 2021</w:t>
            </w:r>
          </w:p>
        </w:tc>
      </w:tr>
      <w:tr>
        <w:trPr>
          <w:cantSplit/>
        </w:trPr>
        <w:tc>
          <w:tcPr>
            <w:tcW w:w="5028" w:type="dxa"/>
          </w:tcPr>
          <w:p>
            <w:pPr>
              <w:ind w:firstLine="0"/>
            </w:pPr>
            <w:r>
              <w:t>Finalize all IRP inputs</w:t>
            </w:r>
          </w:p>
        </w:tc>
        <w:tc>
          <w:tcPr>
            <w:tcW w:w="4602" w:type="dxa"/>
          </w:tcPr>
          <w:p>
            <w:pPr>
              <w:ind w:firstLine="0"/>
            </w:pPr>
            <w:r>
              <w:t>Aug. 27, 2021</w:t>
            </w:r>
          </w:p>
        </w:tc>
      </w:tr>
      <w:tr>
        <w:trPr>
          <w:cantSplit/>
        </w:trPr>
        <w:tc>
          <w:tcPr>
            <w:tcW w:w="5028" w:type="dxa"/>
          </w:tcPr>
          <w:p>
            <w:pPr>
              <w:ind w:firstLine="0"/>
            </w:pPr>
            <w:r>
              <w:t>Completion of optimized portfolio development and results</w:t>
            </w:r>
          </w:p>
        </w:tc>
        <w:tc>
          <w:tcPr>
            <w:tcW w:w="4602" w:type="dxa"/>
          </w:tcPr>
          <w:p>
            <w:pPr>
              <w:ind w:firstLine="0"/>
            </w:pPr>
            <w:r>
              <w:t>Dec. 21, 2021</w:t>
            </w:r>
          </w:p>
        </w:tc>
      </w:tr>
      <w:tr>
        <w:trPr>
          <w:cantSplit/>
        </w:trPr>
        <w:tc>
          <w:tcPr>
            <w:tcW w:w="5028" w:type="dxa"/>
          </w:tcPr>
          <w:p>
            <w:pPr>
              <w:ind w:firstLine="0"/>
            </w:pPr>
            <w:r>
              <w:t xml:space="preserve">Technical Meeting 4 </w:t>
            </w:r>
          </w:p>
        </w:tc>
        <w:tc>
          <w:tcPr>
            <w:tcW w:w="4602" w:type="dxa"/>
          </w:tcPr>
          <w:p>
            <w:pPr>
              <w:ind w:firstLine="0"/>
              <w:rPr>
                <w:color w:val="538135" w:themeColor="accent6" w:themeShade="BF"/>
              </w:rPr>
            </w:pPr>
            <w:r>
              <w:t>Jan. 6-Jan. 20, 2022</w:t>
            </w:r>
          </w:p>
        </w:tc>
      </w:tr>
      <w:tr>
        <w:trPr>
          <w:cantSplit/>
        </w:trPr>
        <w:tc>
          <w:tcPr>
            <w:tcW w:w="5028" w:type="dxa"/>
            <w:shd w:val="clear" w:color="auto" w:fill="D9D9D9" w:themeFill="background1" w:themeFillShade="D9"/>
          </w:tcPr>
          <w:p>
            <w:pPr>
              <w:ind w:firstLine="0"/>
            </w:pPr>
            <w:r>
              <w:t>2021 IRP Report filed</w:t>
            </w:r>
            <w:r>
              <w:rPr>
                <w:vertAlign w:val="superscript"/>
              </w:rPr>
              <w:footnoteReference w:id="1"/>
            </w:r>
          </w:p>
        </w:tc>
        <w:tc>
          <w:tcPr>
            <w:tcW w:w="4602" w:type="dxa"/>
            <w:shd w:val="clear" w:color="auto" w:fill="D9D9D9" w:themeFill="background1" w:themeFillShade="D9"/>
          </w:tcPr>
          <w:p>
            <w:pPr>
              <w:ind w:firstLine="0"/>
            </w:pPr>
            <w:r>
              <w:t>March 25, 2022</w:t>
            </w:r>
          </w:p>
        </w:tc>
      </w:tr>
      <w:tr>
        <w:trPr>
          <w:cantSplit/>
        </w:trPr>
        <w:tc>
          <w:tcPr>
            <w:tcW w:w="5028" w:type="dxa"/>
          </w:tcPr>
          <w:p>
            <w:pPr>
              <w:ind w:firstLine="0"/>
            </w:pPr>
            <w:r>
              <w:t xml:space="preserve">Second Public Meeting </w:t>
            </w:r>
          </w:p>
        </w:tc>
        <w:tc>
          <w:tcPr>
            <w:tcW w:w="4602" w:type="dxa"/>
          </w:tcPr>
          <w:p>
            <w:pPr>
              <w:ind w:firstLine="0"/>
              <w:rPr>
                <w:color w:val="538135" w:themeColor="accent6" w:themeShade="BF"/>
              </w:rPr>
            </w:pPr>
            <w:r>
              <w:t>April 8-15, 2022</w:t>
            </w:r>
          </w:p>
        </w:tc>
      </w:tr>
      <w:tr>
        <w:trPr>
          <w:cantSplit/>
        </w:trPr>
        <w:tc>
          <w:tcPr>
            <w:tcW w:w="5028" w:type="dxa"/>
          </w:tcPr>
          <w:p>
            <w:pPr>
              <w:ind w:firstLine="0"/>
            </w:pPr>
            <w:r>
              <w:t>Third Public Meeting</w:t>
            </w:r>
          </w:p>
        </w:tc>
        <w:tc>
          <w:tcPr>
            <w:tcW w:w="4602" w:type="dxa"/>
          </w:tcPr>
          <w:p>
            <w:pPr>
              <w:ind w:firstLine="0"/>
            </w:pPr>
            <w:r>
              <w:t>April 29-May 6, 2022</w:t>
            </w:r>
          </w:p>
        </w:tc>
      </w:tr>
      <w:tr>
        <w:trPr>
          <w:cantSplit/>
        </w:trPr>
        <w:tc>
          <w:tcPr>
            <w:tcW w:w="5028" w:type="dxa"/>
          </w:tcPr>
          <w:p>
            <w:pPr>
              <w:ind w:firstLine="0"/>
              <w:rPr>
                <w:i/>
              </w:rPr>
            </w:pPr>
            <w:r>
              <w:lastRenderedPageBreak/>
              <w:t xml:space="preserve">Technical Meeting 5 </w:t>
            </w:r>
          </w:p>
        </w:tc>
        <w:tc>
          <w:tcPr>
            <w:tcW w:w="4602" w:type="dxa"/>
          </w:tcPr>
          <w:p>
            <w:pPr>
              <w:ind w:firstLine="0"/>
            </w:pPr>
            <w:r>
              <w:t>April 29-May 6, 2022</w:t>
            </w:r>
          </w:p>
        </w:tc>
      </w:tr>
      <w:tr>
        <w:trPr>
          <w:cantSplit/>
        </w:trPr>
        <w:tc>
          <w:tcPr>
            <w:tcW w:w="5028" w:type="dxa"/>
          </w:tcPr>
          <w:p>
            <w:pPr>
              <w:ind w:firstLine="0"/>
            </w:pPr>
            <w:r>
              <w:t xml:space="preserve">Intervenor Comments on Final IRP </w:t>
            </w:r>
          </w:p>
        </w:tc>
        <w:tc>
          <w:tcPr>
            <w:tcW w:w="4602" w:type="dxa"/>
          </w:tcPr>
          <w:p>
            <w:pPr>
              <w:ind w:firstLine="0"/>
            </w:pPr>
            <w:r>
              <w:t>May 9, 2022</w:t>
            </w:r>
          </w:p>
        </w:tc>
      </w:tr>
      <w:tr>
        <w:trPr>
          <w:cantSplit/>
        </w:trPr>
        <w:tc>
          <w:tcPr>
            <w:tcW w:w="5028" w:type="dxa"/>
          </w:tcPr>
          <w:p>
            <w:pPr>
              <w:ind w:firstLine="0"/>
            </w:pPr>
            <w:r>
              <w:t>ENO Reply Comments</w:t>
            </w:r>
          </w:p>
        </w:tc>
        <w:tc>
          <w:tcPr>
            <w:tcW w:w="4602" w:type="dxa"/>
          </w:tcPr>
          <w:p>
            <w:pPr>
              <w:ind w:firstLine="0"/>
              <w:rPr>
                <w:color w:val="538135" w:themeColor="accent6" w:themeShade="BF"/>
              </w:rPr>
            </w:pPr>
            <w:r>
              <w:t>June 7, 2022</w:t>
            </w:r>
          </w:p>
        </w:tc>
      </w:tr>
      <w:tr>
        <w:trPr>
          <w:cantSplit/>
        </w:trPr>
        <w:tc>
          <w:tcPr>
            <w:tcW w:w="5028" w:type="dxa"/>
          </w:tcPr>
          <w:p>
            <w:pPr>
              <w:ind w:firstLine="0"/>
            </w:pPr>
            <w:r>
              <w:t>Discovery closes</w:t>
            </w:r>
          </w:p>
        </w:tc>
        <w:tc>
          <w:tcPr>
            <w:tcW w:w="4602" w:type="dxa"/>
          </w:tcPr>
          <w:p>
            <w:pPr>
              <w:ind w:firstLine="0"/>
            </w:pPr>
            <w:r>
              <w:t>June 27, 2022</w:t>
            </w:r>
          </w:p>
        </w:tc>
      </w:tr>
      <w:tr>
        <w:trPr>
          <w:cantSplit/>
        </w:trPr>
        <w:tc>
          <w:tcPr>
            <w:tcW w:w="5028" w:type="dxa"/>
          </w:tcPr>
          <w:p>
            <w:pPr>
              <w:ind w:firstLine="0"/>
            </w:pPr>
            <w:r>
              <w:t>Advisor Report</w:t>
            </w:r>
          </w:p>
        </w:tc>
        <w:tc>
          <w:tcPr>
            <w:tcW w:w="4602" w:type="dxa"/>
          </w:tcPr>
          <w:p>
            <w:pPr>
              <w:ind w:firstLine="0"/>
            </w:pPr>
            <w:r>
              <w:t>July 12, 2022</w:t>
            </w:r>
          </w:p>
        </w:tc>
      </w:tr>
      <w:tr>
        <w:trPr>
          <w:cantSplit/>
        </w:trPr>
        <w:tc>
          <w:tcPr>
            <w:tcW w:w="5028" w:type="dxa"/>
          </w:tcPr>
          <w:p>
            <w:pPr>
              <w:ind w:firstLine="0"/>
            </w:pPr>
            <w:r>
              <w:t>Energy Smart Implementation Filing for Program Years 13-15</w:t>
            </w:r>
          </w:p>
        </w:tc>
        <w:tc>
          <w:tcPr>
            <w:tcW w:w="4602" w:type="dxa"/>
          </w:tcPr>
          <w:p>
            <w:pPr>
              <w:ind w:firstLine="0"/>
            </w:pPr>
            <w:r>
              <w:t>July 19, 2022</w:t>
            </w:r>
          </w:p>
        </w:tc>
      </w:tr>
    </w:tbl>
    <w:p/>
    <w:p>
      <w:pPr>
        <w:spacing w:line="480" w:lineRule="auto"/>
        <w:jc w:val="both"/>
      </w:pPr>
      <w:r>
        <w:t xml:space="preserve">SO ORDERED, this ____ day of </w:t>
      </w:r>
      <w:r>
        <w:rPr>
          <w:u w:val="single"/>
        </w:rPr>
        <w:tab/>
      </w:r>
      <w:r>
        <w:rPr>
          <w:u w:val="single"/>
        </w:rPr>
        <w:tab/>
      </w:r>
      <w:r>
        <w:rPr>
          <w:u w:val="single"/>
        </w:rPr>
        <w:tab/>
      </w:r>
      <w:r>
        <w:t>, 2021.</w:t>
      </w:r>
    </w:p>
    <w:p>
      <w:pPr>
        <w:spacing w:line="480" w:lineRule="auto"/>
        <w:ind w:left="5040" w:firstLine="0"/>
      </w:pPr>
    </w:p>
    <w:p>
      <w:pPr>
        <w:ind w:left="5040" w:firstLine="0"/>
      </w:pPr>
      <w:r>
        <w:t>_______________________________</w:t>
      </w:r>
    </w:p>
    <w:p>
      <w:pPr>
        <w:ind w:left="5040" w:firstLine="0"/>
      </w:pPr>
      <w:r>
        <w:t>MARIA AUZENNE</w:t>
      </w:r>
    </w:p>
    <w:p>
      <w:pPr>
        <w:ind w:left="5040" w:firstLine="0"/>
      </w:pPr>
      <w:r>
        <w:t>Hearing Officer</w:t>
      </w:r>
    </w:p>
    <w:sectPr>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953a0151-46fa-4ed5-a1f0-3134"/>
  <w:p>
    <w:pPr>
      <w:pStyle w:val="DocID"/>
    </w:pPr>
    <w:r>
      <w:fldChar w:fldCharType="begin"/>
    </w:r>
    <w:r>
      <w:instrText xml:space="preserve">  DOCPROPERTY "CUS_DocIDChunk0" </w:instrText>
    </w:r>
    <w:r>
      <w:fldChar w:fldCharType="separate"/>
    </w:r>
    <w:r>
      <w:rPr>
        <w:noProof/>
      </w:rPr>
      <w:t>US_Active\116682569\V-1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7736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bookmarkStart w:id="2" w:name="_iDocIDFielda3967311-92bb-4cff-b671-0038"/>
  <w:p>
    <w:pPr>
      <w:pStyle w:val="DocID"/>
    </w:pPr>
    <w:r>
      <w:fldChar w:fldCharType="begin"/>
    </w:r>
    <w:r>
      <w:instrText xml:space="preserve">  DOCPROPERTY "CUS_DocIDChunk0" </w:instrText>
    </w:r>
    <w:r>
      <w:fldChar w:fldCharType="separate"/>
    </w:r>
    <w:r>
      <w:rPr>
        <w:noProof/>
      </w:rPr>
      <w:t>US_Active\116682569\V-1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679f6818-226b-49b6-979a-353c"/>
  <w:p>
    <w:pPr>
      <w:pStyle w:val="DocID"/>
    </w:pPr>
    <w:r>
      <w:fldChar w:fldCharType="begin"/>
    </w:r>
    <w:r>
      <w:instrText xml:space="preserve">  DOCPROPERTY "CUS_DocIDChunk0" </w:instrText>
    </w:r>
    <w:r>
      <w:fldChar w:fldCharType="separate"/>
    </w:r>
    <w:r>
      <w:rPr>
        <w:noProof/>
      </w:rPr>
      <w:t>US_Active\116682569\V-1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jc w:val="both"/>
      </w:pPr>
      <w:r>
        <w:rPr>
          <w:rStyle w:val="FootnoteReference"/>
        </w:rPr>
        <w:footnoteRef/>
      </w:r>
      <w:r>
        <w:t xml:space="preserve"> The Advisors noted that Resolution R-20-257 specifically reserves to the Council the ability to change the deadline for the 2021 IRP Report.  The Advisors filed a motion to the Council requesting this change to the 2021 IRP Report deadline on February ____, 2021, and the Council granted the Advisors’ motion in M-21-___ on February 25,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826D607-C0C3-4B91-9120-72E557B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pPr>
      <w:tabs>
        <w:tab w:val="clear" w:pos="4680"/>
        <w:tab w:val="clear" w:pos="9360"/>
      </w:tabs>
      <w:ind w:firstLine="0"/>
    </w:pPr>
    <w:rPr>
      <w:rFonts w:ascii="Arial" w:eastAsia="Times New Roman" w:hAnsi="Arial" w:cs="Arial"/>
      <w:sz w:val="16"/>
      <w:szCs w:val="20"/>
      <w:lang w:eastAsia="zh-CN"/>
    </w:rPr>
  </w:style>
  <w:style w:type="character" w:customStyle="1" w:styleId="DocIDChar">
    <w:name w:val="DocID Char"/>
    <w:basedOn w:val="DefaultParagraphFont"/>
    <w:link w:val="DocID"/>
    <w:rPr>
      <w:rFonts w:ascii="Arial" w:eastAsia="Times New Roman" w:hAnsi="Arial" w:cs="Arial"/>
      <w:sz w:val="16"/>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iBlank Portrait</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Emma F.</dc:creator>
  <cp:keywords/>
  <dc:description/>
  <cp:lastModifiedBy>Beatmann, Jay</cp:lastModifiedBy>
  <cp:revision>3</cp:revision>
  <dcterms:created xsi:type="dcterms:W3CDTF">2021-02-19T21:54:00Z</dcterms:created>
  <dcterms:modified xsi:type="dcterms:W3CDTF">2021-02-19T21:54:00Z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US_Active\116682569\V-1</vt:lpwstr>
  </property>
  <property fmtid="{D5CDD505-2E9C-101B-9397-08002B2CF9AE}" pid="3" name="CUS_DocIDChunk0">
    <vt:lpwstr>US_Active\116682569\V-1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