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pPr>
        <w:spacing w:before="240"/>
        <w:jc w:val="center"/>
        <w:rPr>
          <w:b/>
          <w:szCs w:val="24"/>
        </w:rPr>
      </w:pPr>
      <w:r>
        <w:rPr>
          <w:b/>
          <w:szCs w:val="24"/>
        </w:rPr>
        <w:t>BEFORE THE</w:t>
      </w:r>
    </w:p>
    <w:p>
      <w:pPr>
        <w:spacing w:before="240"/>
        <w:jc w:val="center"/>
        <w:rPr>
          <w:b/>
          <w:szCs w:val="24"/>
        </w:rPr>
      </w:pPr>
      <w:r>
        <w:rPr>
          <w:b/>
          <w:szCs w:val="24"/>
        </w:rPr>
        <w:t>COUNCIL OF THE CITY OF NEW ORLEANS</w:t>
      </w:r>
    </w:p>
    <w:tbl>
      <w:tblPr>
        <w:tblStyle w:val="TableGrid"/>
        <w:tblW w:w="0" w:type="auto"/>
        <w:tblBorders>
          <w:top w:val="nil"/>
          <w:left w:val="nil"/>
          <w:bottom w:val="nil"/>
          <w:right w:val="nil"/>
          <w:insideH w:val="nil"/>
          <w:insideV w:val="nil"/>
        </w:tblBorders>
        <w:tblLook w:val="04A0"/>
      </w:tblPr>
      <w:tblGrid>
        <w:gridCol w:w="4518"/>
        <w:gridCol w:w="450"/>
        <w:gridCol w:w="4608"/>
      </w:tblGrid>
      <w:tr>
        <w:tblPrEx>
          <w:tblW w:w="0" w:type="auto"/>
          <w:tblBorders>
            <w:top w:val="nil"/>
            <w:left w:val="nil"/>
            <w:bottom w:val="nil"/>
            <w:right w:val="nil"/>
            <w:insideH w:val="nil"/>
            <w:insideV w:val="nil"/>
          </w:tblBorders>
          <w:tblLook w:val="04A0"/>
        </w:tblPrEx>
        <w:tc>
          <w:tcPr>
            <w:tcW w:w="4518" w:type="dxa"/>
            <w:vAlign w:val="center"/>
          </w:tcPr>
          <w:p>
            <w:pPr>
              <w:spacing w:line="276" w:lineRule="auto"/>
              <w:rPr>
                <w:b/>
                <w:szCs w:val="24"/>
              </w:rPr>
            </w:pPr>
            <w:r>
              <w:rPr>
                <w:b/>
                <w:szCs w:val="24"/>
              </w:rPr>
              <w:t>REVISED APPLICATION OF ENTERGY NEW ORLEANS, LLC FOR A CHANGE IN ELECTRIC AND GAS RATES PURSUANT TO COUNCIL RESOLUTIONS R-15-194 AND R-17-504 AND FOR RELATED RELIEF</w:t>
            </w:r>
          </w:p>
        </w:tc>
        <w:tc>
          <w:tcPr>
            <w:tcW w:w="450" w:type="dxa"/>
            <w:vAlign w:val="center"/>
          </w:tcPr>
          <w:p>
            <w:pPr>
              <w:spacing w:line="276" w:lineRule="auto"/>
              <w:jc w:val="center"/>
              <w:rPr>
                <w:b/>
                <w:szCs w:val="24"/>
              </w:rPr>
            </w:pPr>
            <w:r>
              <w:rPr>
                <w:b/>
                <w:szCs w:val="24"/>
              </w:rPr>
              <w:t>)</w:t>
            </w:r>
          </w:p>
          <w:p>
            <w:pPr>
              <w:spacing w:line="276" w:lineRule="auto"/>
              <w:jc w:val="center"/>
              <w:rPr>
                <w:b/>
                <w:szCs w:val="24"/>
              </w:rPr>
            </w:pPr>
            <w:r>
              <w:rPr>
                <w:b/>
                <w:szCs w:val="24"/>
              </w:rPr>
              <w:t>)</w:t>
            </w:r>
          </w:p>
          <w:p>
            <w:pPr>
              <w:spacing w:line="276" w:lineRule="auto"/>
              <w:jc w:val="center"/>
              <w:rPr>
                <w:b/>
                <w:szCs w:val="24"/>
              </w:rPr>
            </w:pPr>
            <w:r>
              <w:rPr>
                <w:b/>
                <w:szCs w:val="24"/>
              </w:rPr>
              <w:t>)</w:t>
            </w:r>
          </w:p>
          <w:p>
            <w:pPr>
              <w:spacing w:line="276" w:lineRule="auto"/>
              <w:jc w:val="center"/>
              <w:rPr>
                <w:b/>
                <w:szCs w:val="24"/>
              </w:rPr>
            </w:pPr>
            <w:r>
              <w:rPr>
                <w:b/>
                <w:szCs w:val="24"/>
              </w:rPr>
              <w:t>)</w:t>
            </w:r>
          </w:p>
          <w:p>
            <w:pPr>
              <w:spacing w:line="276" w:lineRule="auto"/>
              <w:jc w:val="center"/>
              <w:rPr>
                <w:b/>
                <w:szCs w:val="24"/>
              </w:rPr>
            </w:pPr>
            <w:r>
              <w:rPr>
                <w:b/>
                <w:szCs w:val="24"/>
              </w:rPr>
              <w:t>)</w:t>
            </w:r>
          </w:p>
          <w:p>
            <w:pPr>
              <w:spacing w:line="276" w:lineRule="auto"/>
              <w:jc w:val="center"/>
              <w:rPr>
                <w:b/>
                <w:szCs w:val="24"/>
              </w:rPr>
            </w:pPr>
            <w:r>
              <w:rPr>
                <w:b/>
                <w:szCs w:val="24"/>
              </w:rPr>
              <w:t>)</w:t>
            </w:r>
          </w:p>
        </w:tc>
        <w:tc>
          <w:tcPr>
            <w:tcW w:w="4608" w:type="dxa"/>
            <w:vAlign w:val="center"/>
          </w:tcPr>
          <w:p>
            <w:pPr>
              <w:spacing w:line="276" w:lineRule="auto"/>
              <w:rPr>
                <w:b/>
                <w:szCs w:val="24"/>
              </w:rPr>
            </w:pPr>
            <w:r>
              <w:rPr>
                <w:b/>
                <w:szCs w:val="24"/>
              </w:rPr>
              <w:t>DOCKET NO. UD-18-07</w:t>
            </w:r>
          </w:p>
        </w:tc>
      </w:tr>
    </w:tbl>
    <w:p>
      <w:pPr>
        <w:rPr>
          <w:szCs w:val="24"/>
        </w:rPr>
      </w:pPr>
    </w:p>
    <w:p>
      <w:pPr>
        <w:spacing w:line="480" w:lineRule="auto"/>
        <w:jc w:val="center"/>
        <w:rPr>
          <w:szCs w:val="24"/>
        </w:rPr>
      </w:pPr>
      <w:r>
        <w:rPr>
          <w:b/>
          <w:szCs w:val="24"/>
          <w:u w:val="single"/>
        </w:rPr>
        <w:t>ORDER</w:t>
      </w:r>
    </w:p>
    <w:p>
      <w:pPr>
        <w:spacing w:line="480" w:lineRule="auto"/>
        <w:ind w:firstLine="720"/>
        <w:jc w:val="both"/>
        <w:rPr>
          <w:rFonts w:eastAsia="Calibri" w:cs="Times New Roman"/>
          <w:szCs w:val="24"/>
        </w:rPr>
      </w:pPr>
      <w:r>
        <w:rPr>
          <w:rFonts w:eastAsia="Calibri" w:cs="Times New Roman"/>
          <w:szCs w:val="24"/>
        </w:rPr>
        <w:t>On April 15, 2019, the Advisors to the Council of the City of New Orleans (“Advisors”) filed an Unopposed Motion to Extend Dates in Procedural Schedule in the above captioned proceeding.  Considering</w:t>
      </w:r>
      <w:bookmarkStart w:id="0" w:name="_GoBack"/>
      <w:bookmarkEnd w:id="0"/>
      <w:r>
        <w:rPr>
          <w:rFonts w:eastAsia="Calibri" w:cs="Times New Roman"/>
          <w:szCs w:val="24"/>
        </w:rPr>
        <w:t xml:space="preserve"> said unopposed motion, the Advisors’ request is hereby GRANTED.  Accordingly, the procedural schedule is reset as follows:</w:t>
      </w:r>
    </w:p>
    <w:tbl>
      <w:tblPr>
        <w:tblW w:w="0" w:type="auto"/>
        <w:tblCellMar>
          <w:left w:w="0" w:type="dxa"/>
          <w:right w:w="0" w:type="dxa"/>
        </w:tblCellMar>
        <w:tblLook w:val="04A0"/>
      </w:tblPr>
      <w:tblGrid>
        <w:gridCol w:w="4908"/>
        <w:gridCol w:w="2127"/>
        <w:gridCol w:w="2315"/>
      </w:tblGrid>
      <w:tr>
        <w:tblPrEx>
          <w:tblW w:w="0" w:type="auto"/>
          <w:tblCellMar>
            <w:left w:w="0" w:type="dxa"/>
            <w:right w:w="0" w:type="dxa"/>
          </w:tblCellMar>
          <w:tblLook w:val="04A0"/>
        </w:tblPrEx>
        <w:tc>
          <w:tcPr>
            <w:tcW w:w="4908" w:type="dxa"/>
            <w:tcBorders>
              <w:top w:val="single" w:sz="8" w:space="0" w:color="auto"/>
              <w:left w:val="single" w:sz="8" w:space="0" w:color="auto"/>
              <w:bottom w:val="single" w:sz="8" w:space="0" w:color="auto"/>
              <w:right w:val="single" w:sz="8" w:space="0" w:color="auto"/>
            </w:tcBorders>
            <w:shd w:val="clear" w:color="auto" w:fill="D9D9D9"/>
            <w:tcMar>
              <w:top w:w="43" w:type="dxa"/>
              <w:left w:w="115" w:type="dxa"/>
              <w:bottom w:w="43" w:type="dxa"/>
              <w:right w:w="115" w:type="dxa"/>
            </w:tcMar>
            <w:hideMark/>
          </w:tcPr>
          <w:p>
            <w:pPr>
              <w:jc w:val="center"/>
              <w:rPr>
                <w:rFonts w:cs="Times New Roman"/>
                <w:b/>
                <w:bCs/>
                <w:szCs w:val="24"/>
              </w:rPr>
            </w:pPr>
            <w:r>
              <w:rPr>
                <w:rFonts w:cs="Times New Roman"/>
                <w:b/>
                <w:bCs/>
                <w:szCs w:val="24"/>
              </w:rPr>
              <w:t>DEADLINE</w:t>
            </w:r>
          </w:p>
        </w:tc>
        <w:tc>
          <w:tcPr>
            <w:tcW w:w="2127" w:type="dxa"/>
            <w:tcBorders>
              <w:top w:val="single" w:sz="8" w:space="0" w:color="auto"/>
              <w:left w:val="nil"/>
              <w:bottom w:val="single" w:sz="8" w:space="0" w:color="auto"/>
              <w:right w:val="single" w:sz="8" w:space="0" w:color="auto"/>
            </w:tcBorders>
            <w:shd w:val="clear" w:color="auto" w:fill="D9D9D9"/>
            <w:tcMar>
              <w:top w:w="43" w:type="dxa"/>
              <w:left w:w="115" w:type="dxa"/>
              <w:bottom w:w="43" w:type="dxa"/>
              <w:right w:w="115" w:type="dxa"/>
            </w:tcMar>
            <w:hideMark/>
          </w:tcPr>
          <w:p>
            <w:pPr>
              <w:jc w:val="center"/>
              <w:rPr>
                <w:rFonts w:cs="Times New Roman"/>
                <w:b/>
                <w:bCs/>
                <w:szCs w:val="24"/>
              </w:rPr>
            </w:pPr>
            <w:r>
              <w:rPr>
                <w:rFonts w:cs="Times New Roman"/>
                <w:b/>
                <w:bCs/>
                <w:szCs w:val="24"/>
              </w:rPr>
              <w:t>CURRENT DATE</w:t>
            </w:r>
          </w:p>
        </w:tc>
        <w:tc>
          <w:tcPr>
            <w:tcW w:w="2315" w:type="dxa"/>
            <w:tcBorders>
              <w:top w:val="single" w:sz="8" w:space="0" w:color="auto"/>
              <w:left w:val="nil"/>
              <w:bottom w:val="single" w:sz="8" w:space="0" w:color="auto"/>
              <w:right w:val="single" w:sz="8" w:space="0" w:color="auto"/>
            </w:tcBorders>
            <w:shd w:val="clear" w:color="auto" w:fill="D9D9D9"/>
            <w:tcMar>
              <w:top w:w="43" w:type="dxa"/>
              <w:left w:w="115" w:type="dxa"/>
              <w:bottom w:w="43" w:type="dxa"/>
              <w:right w:w="115" w:type="dxa"/>
            </w:tcMar>
            <w:hideMark/>
          </w:tcPr>
          <w:p>
            <w:pPr>
              <w:jc w:val="center"/>
              <w:rPr>
                <w:rFonts w:cs="Times New Roman"/>
                <w:b/>
                <w:bCs/>
                <w:szCs w:val="24"/>
              </w:rPr>
            </w:pPr>
            <w:r>
              <w:rPr>
                <w:rFonts w:cs="Times New Roman"/>
                <w:b/>
                <w:bCs/>
                <w:szCs w:val="24"/>
              </w:rPr>
              <w:t>PROPOSED DATE</w:t>
            </w:r>
          </w:p>
        </w:tc>
      </w:tr>
      <w:tr>
        <w:tblPrEx>
          <w:tblW w:w="0" w:type="auto"/>
          <w:tblCellMar>
            <w:left w:w="0" w:type="dxa"/>
            <w:right w:w="0" w:type="dxa"/>
          </w:tblCellMar>
          <w:tblLook w:val="04A0"/>
        </w:tblPrEx>
        <w:tc>
          <w:tcPr>
            <w:tcW w:w="4908"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pPr>
              <w:rPr>
                <w:rFonts w:cs="Times New Roman"/>
                <w:szCs w:val="24"/>
              </w:rPr>
            </w:pPr>
            <w:r>
              <w:rPr>
                <w:rFonts w:cs="Times New Roman"/>
                <w:szCs w:val="24"/>
              </w:rPr>
              <w:t xml:space="preserve">Intervenors and Advisors Shall File Surrebuttal and Cross-Answering Testimony </w:t>
            </w:r>
          </w:p>
        </w:tc>
        <w:tc>
          <w:tcPr>
            <w:tcW w:w="2127" w:type="dxa"/>
            <w:tcBorders>
              <w:top w:val="nil"/>
              <w:left w:val="nil"/>
              <w:bottom w:val="single" w:sz="8" w:space="0" w:color="auto"/>
              <w:right w:val="single" w:sz="8" w:space="0" w:color="auto"/>
            </w:tcBorders>
            <w:tcMar>
              <w:top w:w="43" w:type="dxa"/>
              <w:left w:w="115" w:type="dxa"/>
              <w:bottom w:w="43" w:type="dxa"/>
              <w:right w:w="115" w:type="dxa"/>
            </w:tcMar>
            <w:hideMark/>
          </w:tcPr>
          <w:p>
            <w:pPr>
              <w:rPr>
                <w:rFonts w:cs="Times New Roman"/>
                <w:szCs w:val="24"/>
              </w:rPr>
            </w:pPr>
            <w:r>
              <w:rPr>
                <w:rFonts w:cs="Times New Roman"/>
                <w:szCs w:val="24"/>
              </w:rPr>
              <w:t>April 19, 2019</w:t>
            </w:r>
          </w:p>
        </w:tc>
        <w:tc>
          <w:tcPr>
            <w:tcW w:w="2315" w:type="dxa"/>
            <w:tcBorders>
              <w:top w:val="nil"/>
              <w:left w:val="nil"/>
              <w:bottom w:val="single" w:sz="8" w:space="0" w:color="auto"/>
              <w:right w:val="single" w:sz="8" w:space="0" w:color="auto"/>
            </w:tcBorders>
            <w:tcMar>
              <w:top w:w="43" w:type="dxa"/>
              <w:left w:w="115" w:type="dxa"/>
              <w:bottom w:w="43" w:type="dxa"/>
              <w:right w:w="115" w:type="dxa"/>
            </w:tcMar>
            <w:hideMark/>
          </w:tcPr>
          <w:p>
            <w:pPr>
              <w:rPr>
                <w:rFonts w:cs="Times New Roman"/>
                <w:szCs w:val="24"/>
              </w:rPr>
            </w:pPr>
            <w:r>
              <w:rPr>
                <w:rFonts w:cs="Times New Roman"/>
                <w:szCs w:val="24"/>
              </w:rPr>
              <w:t>April 26, 2019</w:t>
            </w:r>
          </w:p>
        </w:tc>
      </w:tr>
      <w:tr>
        <w:tblPrEx>
          <w:tblW w:w="0" w:type="auto"/>
          <w:tblCellMar>
            <w:left w:w="0" w:type="dxa"/>
            <w:right w:w="0" w:type="dxa"/>
          </w:tblCellMar>
          <w:tblLook w:val="04A0"/>
        </w:tblPrEx>
        <w:tc>
          <w:tcPr>
            <w:tcW w:w="4908"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pPr>
              <w:rPr>
                <w:rFonts w:cs="Times New Roman"/>
                <w:szCs w:val="24"/>
              </w:rPr>
            </w:pPr>
            <w:r>
              <w:rPr>
                <w:rFonts w:cs="Times New Roman"/>
                <w:szCs w:val="24"/>
              </w:rPr>
              <w:t>ENO Shall File Rejoinder Testimony</w:t>
            </w:r>
          </w:p>
        </w:tc>
        <w:tc>
          <w:tcPr>
            <w:tcW w:w="2127" w:type="dxa"/>
            <w:tcBorders>
              <w:top w:val="nil"/>
              <w:left w:val="nil"/>
              <w:bottom w:val="single" w:sz="8" w:space="0" w:color="auto"/>
              <w:right w:val="single" w:sz="8" w:space="0" w:color="auto"/>
            </w:tcBorders>
            <w:tcMar>
              <w:top w:w="43" w:type="dxa"/>
              <w:left w:w="115" w:type="dxa"/>
              <w:bottom w:w="43" w:type="dxa"/>
              <w:right w:w="115" w:type="dxa"/>
            </w:tcMar>
            <w:hideMark/>
          </w:tcPr>
          <w:p>
            <w:pPr>
              <w:rPr>
                <w:rFonts w:cs="Times New Roman"/>
                <w:szCs w:val="24"/>
              </w:rPr>
            </w:pPr>
            <w:r>
              <w:rPr>
                <w:rFonts w:cs="Times New Roman"/>
                <w:szCs w:val="24"/>
              </w:rPr>
              <w:t>May 17, 2019</w:t>
            </w:r>
          </w:p>
        </w:tc>
        <w:tc>
          <w:tcPr>
            <w:tcW w:w="2315" w:type="dxa"/>
            <w:tcBorders>
              <w:top w:val="nil"/>
              <w:left w:val="nil"/>
              <w:bottom w:val="single" w:sz="8" w:space="0" w:color="auto"/>
              <w:right w:val="single" w:sz="8" w:space="0" w:color="auto"/>
            </w:tcBorders>
            <w:tcMar>
              <w:top w:w="43" w:type="dxa"/>
              <w:left w:w="115" w:type="dxa"/>
              <w:bottom w:w="43" w:type="dxa"/>
              <w:right w:w="115" w:type="dxa"/>
            </w:tcMar>
            <w:hideMark/>
          </w:tcPr>
          <w:p>
            <w:pPr>
              <w:rPr>
                <w:rFonts w:cs="Times New Roman"/>
                <w:szCs w:val="24"/>
              </w:rPr>
            </w:pPr>
            <w:r>
              <w:rPr>
                <w:rFonts w:cs="Times New Roman"/>
                <w:szCs w:val="24"/>
              </w:rPr>
              <w:t>May 24, 2019</w:t>
            </w:r>
          </w:p>
        </w:tc>
      </w:tr>
      <w:tr>
        <w:tblPrEx>
          <w:tblW w:w="0" w:type="auto"/>
          <w:tblCellMar>
            <w:left w:w="0" w:type="dxa"/>
            <w:right w:w="0" w:type="dxa"/>
          </w:tblCellMar>
          <w:tblLook w:val="04A0"/>
        </w:tblPrEx>
        <w:tc>
          <w:tcPr>
            <w:tcW w:w="4908"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pPr>
              <w:rPr>
                <w:rFonts w:cs="Times New Roman"/>
                <w:szCs w:val="24"/>
              </w:rPr>
            </w:pPr>
            <w:r>
              <w:rPr>
                <w:rFonts w:cs="Times New Roman"/>
                <w:szCs w:val="24"/>
              </w:rPr>
              <w:t xml:space="preserve">Evidentiary Hearing </w:t>
            </w:r>
          </w:p>
        </w:tc>
        <w:tc>
          <w:tcPr>
            <w:tcW w:w="2127" w:type="dxa"/>
            <w:tcBorders>
              <w:top w:val="nil"/>
              <w:left w:val="nil"/>
              <w:bottom w:val="single" w:sz="8" w:space="0" w:color="auto"/>
              <w:right w:val="single" w:sz="8" w:space="0" w:color="auto"/>
            </w:tcBorders>
            <w:tcMar>
              <w:top w:w="43" w:type="dxa"/>
              <w:left w:w="115" w:type="dxa"/>
              <w:bottom w:w="43" w:type="dxa"/>
              <w:right w:w="115" w:type="dxa"/>
            </w:tcMar>
            <w:hideMark/>
          </w:tcPr>
          <w:p>
            <w:pPr>
              <w:rPr>
                <w:rFonts w:cs="Times New Roman"/>
                <w:szCs w:val="24"/>
              </w:rPr>
            </w:pPr>
            <w:r>
              <w:rPr>
                <w:rFonts w:cs="Times New Roman"/>
                <w:szCs w:val="24"/>
              </w:rPr>
              <w:t>June 10-14, 2019</w:t>
            </w:r>
          </w:p>
        </w:tc>
        <w:tc>
          <w:tcPr>
            <w:tcW w:w="2315" w:type="dxa"/>
            <w:tcBorders>
              <w:top w:val="nil"/>
              <w:left w:val="nil"/>
              <w:bottom w:val="single" w:sz="8" w:space="0" w:color="auto"/>
              <w:right w:val="single" w:sz="8" w:space="0" w:color="auto"/>
            </w:tcBorders>
            <w:tcMar>
              <w:top w:w="43" w:type="dxa"/>
              <w:left w:w="115" w:type="dxa"/>
              <w:bottom w:w="43" w:type="dxa"/>
              <w:right w:w="115" w:type="dxa"/>
            </w:tcMar>
            <w:hideMark/>
          </w:tcPr>
          <w:p>
            <w:pPr>
              <w:rPr>
                <w:rFonts w:cs="Times New Roman"/>
                <w:szCs w:val="24"/>
              </w:rPr>
            </w:pPr>
            <w:r>
              <w:rPr>
                <w:rFonts w:cs="Times New Roman"/>
                <w:szCs w:val="24"/>
              </w:rPr>
              <w:t>June 17-21, 2019</w:t>
            </w:r>
          </w:p>
        </w:tc>
      </w:tr>
      <w:tr>
        <w:tblPrEx>
          <w:tblW w:w="0" w:type="auto"/>
          <w:tblCellMar>
            <w:left w:w="0" w:type="dxa"/>
            <w:right w:w="0" w:type="dxa"/>
          </w:tblCellMar>
          <w:tblLook w:val="04A0"/>
        </w:tblPrEx>
        <w:tc>
          <w:tcPr>
            <w:tcW w:w="4908"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pPr>
              <w:rPr>
                <w:rFonts w:cs="Times New Roman"/>
                <w:szCs w:val="24"/>
              </w:rPr>
            </w:pPr>
            <w:r>
              <w:rPr>
                <w:rFonts w:cs="Times New Roman"/>
                <w:szCs w:val="24"/>
              </w:rPr>
              <w:t>Hearing Officer Shall Certify the Record of These Proceedings to the Council</w:t>
            </w:r>
          </w:p>
        </w:tc>
        <w:tc>
          <w:tcPr>
            <w:tcW w:w="2127" w:type="dxa"/>
            <w:tcBorders>
              <w:top w:val="nil"/>
              <w:left w:val="nil"/>
              <w:bottom w:val="single" w:sz="8" w:space="0" w:color="auto"/>
              <w:right w:val="single" w:sz="8" w:space="0" w:color="auto"/>
            </w:tcBorders>
            <w:tcMar>
              <w:top w:w="43" w:type="dxa"/>
              <w:left w:w="115" w:type="dxa"/>
              <w:bottom w:w="43" w:type="dxa"/>
              <w:right w:w="115" w:type="dxa"/>
            </w:tcMar>
            <w:hideMark/>
          </w:tcPr>
          <w:p>
            <w:pPr>
              <w:rPr>
                <w:rFonts w:cs="Times New Roman"/>
                <w:szCs w:val="24"/>
              </w:rPr>
            </w:pPr>
            <w:r>
              <w:rPr>
                <w:rFonts w:cs="Times New Roman"/>
                <w:szCs w:val="24"/>
              </w:rPr>
              <w:t>June 21, 2019</w:t>
            </w:r>
          </w:p>
        </w:tc>
        <w:tc>
          <w:tcPr>
            <w:tcW w:w="2315" w:type="dxa"/>
            <w:tcBorders>
              <w:top w:val="nil"/>
              <w:left w:val="nil"/>
              <w:bottom w:val="single" w:sz="8" w:space="0" w:color="auto"/>
              <w:right w:val="single" w:sz="8" w:space="0" w:color="auto"/>
            </w:tcBorders>
            <w:tcMar>
              <w:top w:w="43" w:type="dxa"/>
              <w:left w:w="115" w:type="dxa"/>
              <w:bottom w:w="43" w:type="dxa"/>
              <w:right w:w="115" w:type="dxa"/>
            </w:tcMar>
            <w:hideMark/>
          </w:tcPr>
          <w:p>
            <w:pPr>
              <w:rPr>
                <w:rFonts w:cs="Times New Roman"/>
                <w:szCs w:val="24"/>
              </w:rPr>
            </w:pPr>
            <w:r>
              <w:rPr>
                <w:rFonts w:cs="Times New Roman"/>
                <w:szCs w:val="24"/>
              </w:rPr>
              <w:t>June 28, 2019</w:t>
            </w:r>
          </w:p>
        </w:tc>
      </w:tr>
      <w:tr>
        <w:tblPrEx>
          <w:tblW w:w="0" w:type="auto"/>
          <w:tblCellMar>
            <w:left w:w="0" w:type="dxa"/>
            <w:right w:w="0" w:type="dxa"/>
          </w:tblCellMar>
          <w:tblLook w:val="04A0"/>
        </w:tblPrEx>
        <w:tc>
          <w:tcPr>
            <w:tcW w:w="4908"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pPr>
              <w:rPr>
                <w:rFonts w:cs="Times New Roman"/>
                <w:szCs w:val="24"/>
              </w:rPr>
            </w:pPr>
            <w:r>
              <w:rPr>
                <w:rFonts w:cs="Times New Roman"/>
                <w:szCs w:val="24"/>
              </w:rPr>
              <w:t xml:space="preserve">Parties Shall File any Initial Briefs </w:t>
            </w:r>
          </w:p>
        </w:tc>
        <w:tc>
          <w:tcPr>
            <w:tcW w:w="2127" w:type="dxa"/>
            <w:tcBorders>
              <w:top w:val="nil"/>
              <w:left w:val="nil"/>
              <w:bottom w:val="single" w:sz="8" w:space="0" w:color="auto"/>
              <w:right w:val="single" w:sz="8" w:space="0" w:color="auto"/>
            </w:tcBorders>
            <w:tcMar>
              <w:top w:w="43" w:type="dxa"/>
              <w:left w:w="115" w:type="dxa"/>
              <w:bottom w:w="43" w:type="dxa"/>
              <w:right w:w="115" w:type="dxa"/>
            </w:tcMar>
            <w:hideMark/>
          </w:tcPr>
          <w:p>
            <w:pPr>
              <w:rPr>
                <w:rFonts w:cs="Times New Roman"/>
                <w:szCs w:val="24"/>
              </w:rPr>
            </w:pPr>
            <w:r>
              <w:rPr>
                <w:rFonts w:cs="Times New Roman"/>
                <w:szCs w:val="24"/>
              </w:rPr>
              <w:t>July 3, 2019</w:t>
            </w:r>
          </w:p>
        </w:tc>
        <w:tc>
          <w:tcPr>
            <w:tcW w:w="2315" w:type="dxa"/>
            <w:tcBorders>
              <w:top w:val="nil"/>
              <w:left w:val="nil"/>
              <w:bottom w:val="single" w:sz="8" w:space="0" w:color="auto"/>
              <w:right w:val="single" w:sz="8" w:space="0" w:color="auto"/>
            </w:tcBorders>
            <w:tcMar>
              <w:top w:w="43" w:type="dxa"/>
              <w:left w:w="115" w:type="dxa"/>
              <w:bottom w:w="43" w:type="dxa"/>
              <w:right w:w="115" w:type="dxa"/>
            </w:tcMar>
            <w:hideMark/>
          </w:tcPr>
          <w:p>
            <w:pPr>
              <w:rPr>
                <w:rFonts w:cs="Times New Roman"/>
                <w:szCs w:val="24"/>
              </w:rPr>
            </w:pPr>
            <w:r>
              <w:rPr>
                <w:rFonts w:cs="Times New Roman"/>
                <w:szCs w:val="24"/>
              </w:rPr>
              <w:t>July 12, 2019</w:t>
            </w:r>
          </w:p>
        </w:tc>
      </w:tr>
      <w:tr>
        <w:tblPrEx>
          <w:tblW w:w="0" w:type="auto"/>
          <w:tblCellMar>
            <w:left w:w="0" w:type="dxa"/>
            <w:right w:w="0" w:type="dxa"/>
          </w:tblCellMar>
          <w:tblLook w:val="04A0"/>
        </w:tblPrEx>
        <w:tc>
          <w:tcPr>
            <w:tcW w:w="4908" w:type="dxa"/>
            <w:tcBorders>
              <w:top w:val="nil"/>
              <w:left w:val="single" w:sz="8" w:space="0" w:color="auto"/>
              <w:bottom w:val="single" w:sz="8" w:space="0" w:color="auto"/>
              <w:right w:val="single" w:sz="8" w:space="0" w:color="auto"/>
            </w:tcBorders>
            <w:tcMar>
              <w:top w:w="43" w:type="dxa"/>
              <w:left w:w="115" w:type="dxa"/>
              <w:bottom w:w="43" w:type="dxa"/>
              <w:right w:w="115" w:type="dxa"/>
            </w:tcMar>
            <w:hideMark/>
          </w:tcPr>
          <w:p>
            <w:pPr>
              <w:rPr>
                <w:rFonts w:cs="Times New Roman"/>
                <w:szCs w:val="24"/>
              </w:rPr>
            </w:pPr>
            <w:r>
              <w:rPr>
                <w:rFonts w:cs="Times New Roman"/>
                <w:szCs w:val="24"/>
              </w:rPr>
              <w:t xml:space="preserve">Parties Shall File any Reply Briefs </w:t>
            </w:r>
          </w:p>
        </w:tc>
        <w:tc>
          <w:tcPr>
            <w:tcW w:w="2127" w:type="dxa"/>
            <w:tcBorders>
              <w:top w:val="nil"/>
              <w:left w:val="nil"/>
              <w:bottom w:val="single" w:sz="8" w:space="0" w:color="auto"/>
              <w:right w:val="single" w:sz="8" w:space="0" w:color="auto"/>
            </w:tcBorders>
            <w:tcMar>
              <w:top w:w="43" w:type="dxa"/>
              <w:left w:w="115" w:type="dxa"/>
              <w:bottom w:w="43" w:type="dxa"/>
              <w:right w:w="115" w:type="dxa"/>
            </w:tcMar>
            <w:hideMark/>
          </w:tcPr>
          <w:p>
            <w:pPr>
              <w:rPr>
                <w:rFonts w:cs="Times New Roman"/>
                <w:szCs w:val="24"/>
              </w:rPr>
            </w:pPr>
            <w:r>
              <w:rPr>
                <w:rFonts w:cs="Times New Roman"/>
                <w:szCs w:val="24"/>
              </w:rPr>
              <w:t>July 19, 2019</w:t>
            </w:r>
          </w:p>
        </w:tc>
        <w:tc>
          <w:tcPr>
            <w:tcW w:w="2315" w:type="dxa"/>
            <w:tcBorders>
              <w:top w:val="nil"/>
              <w:left w:val="nil"/>
              <w:bottom w:val="single" w:sz="8" w:space="0" w:color="auto"/>
              <w:right w:val="single" w:sz="8" w:space="0" w:color="auto"/>
            </w:tcBorders>
            <w:tcMar>
              <w:top w:w="43" w:type="dxa"/>
              <w:left w:w="115" w:type="dxa"/>
              <w:bottom w:w="43" w:type="dxa"/>
              <w:right w:w="115" w:type="dxa"/>
            </w:tcMar>
            <w:hideMark/>
          </w:tcPr>
          <w:p>
            <w:pPr>
              <w:rPr>
                <w:rFonts w:cs="Times New Roman"/>
                <w:szCs w:val="24"/>
              </w:rPr>
            </w:pPr>
            <w:r>
              <w:rPr>
                <w:rFonts w:cs="Times New Roman"/>
                <w:szCs w:val="24"/>
              </w:rPr>
              <w:t>July 24, 2019</w:t>
            </w:r>
          </w:p>
        </w:tc>
      </w:tr>
    </w:tbl>
    <w:p>
      <w:pPr>
        <w:pStyle w:val="BodyText"/>
        <w:spacing w:before="240" w:line="276" w:lineRule="auto"/>
        <w:rPr>
          <w:szCs w:val="24"/>
        </w:rPr>
      </w:pPr>
    </w:p>
    <w:p>
      <w:pPr>
        <w:pStyle w:val="BodyText"/>
        <w:spacing w:before="240" w:line="276" w:lineRule="auto"/>
        <w:rPr>
          <w:szCs w:val="24"/>
        </w:rPr>
      </w:pPr>
      <w:r>
        <w:rPr>
          <w:szCs w:val="24"/>
        </w:rPr>
        <w:t>Thus done and signed this ______ day of April, 2019.</w:t>
      </w:r>
    </w:p>
    <w:p>
      <w:pPr>
        <w:pStyle w:val="BodyText"/>
        <w:spacing w:before="240" w:line="276" w:lineRule="auto"/>
        <w:rPr>
          <w:szCs w:val="24"/>
        </w:rPr>
      </w:pPr>
    </w:p>
    <w:p>
      <w:pPr>
        <w:pStyle w:val="BodyText"/>
        <w:spacing w:line="276" w:lineRule="auto"/>
        <w:rPr>
          <w:szCs w:val="24"/>
        </w:rPr>
      </w:pPr>
    </w:p>
    <w:p>
      <w:pPr>
        <w:pStyle w:val="BodyText"/>
        <w:spacing w:line="276" w:lineRule="auto"/>
        <w:ind w:left="5040" w:firstLine="0"/>
        <w:contextualSpacing/>
        <w:rPr>
          <w:szCs w:val="24"/>
        </w:rPr>
      </w:pPr>
      <w:r>
        <w:rPr>
          <w:szCs w:val="24"/>
        </w:rPr>
        <w:t>_____________________________</w:t>
      </w:r>
    </w:p>
    <w:p>
      <w:pPr>
        <w:pStyle w:val="BodyText"/>
        <w:spacing w:line="276" w:lineRule="auto"/>
        <w:ind w:left="5040" w:firstLine="0"/>
        <w:contextualSpacing/>
        <w:rPr>
          <w:szCs w:val="24"/>
        </w:rPr>
      </w:pPr>
      <w:r>
        <w:rPr>
          <w:szCs w:val="24"/>
        </w:rPr>
        <w:t>Honorable Jeffrey S. Gulin</w:t>
      </w:r>
    </w:p>
    <w:p>
      <w:pPr>
        <w:pStyle w:val="BodyText"/>
        <w:spacing w:line="276" w:lineRule="auto"/>
        <w:ind w:left="5040" w:firstLine="0"/>
        <w:contextualSpacing/>
        <w:rPr>
          <w:szCs w:val="24"/>
        </w:rPr>
      </w:pPr>
      <w:r>
        <w:rPr>
          <w:szCs w:val="24"/>
        </w:rPr>
        <w:t>Hearing Officer</w:t>
      </w:r>
    </w:p>
    <w:sectPr>
      <w:headerReference w:type="even" r:id="rId5"/>
      <w:headerReference w:type="default" r:id="rId6"/>
      <w:footerReference w:type="even" r:id="rId7"/>
      <w:footerReference w:type="default" r:id="rId8"/>
      <w:headerReference w:type="first" r:id="rId9"/>
      <w:footerReference w:type="first" r:id="rId10"/>
      <w:pgSz w:w="12240" w:h="15840" w:code="1"/>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63597616"/>
      <w:docPartObj>
        <w:docPartGallery w:val="Page Numbers (Bottom of Page)"/>
        <w:docPartUnique/>
      </w:docPartObj>
    </w:sdtPr>
    <w:sdtEndPr>
      <w:rPr>
        <w:noProof/>
      </w:rPr>
    </w:sdtEndPr>
    <w:sdtContent>
      <w:p>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5DD8AD64"/>
    <w:lvl w:ilvl="0">
      <w:start w:val="1"/>
      <w:numFmt w:val="decimal"/>
      <w:lvlText w:val="%1."/>
      <w:lvlJc w:val="left"/>
      <w:pPr>
        <w:tabs>
          <w:tab w:val="num" w:pos="1800"/>
        </w:tabs>
        <w:ind w:left="1800" w:hanging="360"/>
      </w:pPr>
    </w:lvl>
  </w:abstractNum>
  <w:abstractNum w:abstractNumId="1">
    <w:nsid w:val="FFFFFF7D"/>
    <w:multiLevelType w:val="singleLevel"/>
    <w:tmpl w:val="371A6B86"/>
    <w:lvl w:ilvl="0">
      <w:start w:val="1"/>
      <w:numFmt w:val="decimal"/>
      <w:lvlText w:val="%1."/>
      <w:lvlJc w:val="left"/>
      <w:pPr>
        <w:tabs>
          <w:tab w:val="num" w:pos="1440"/>
        </w:tabs>
        <w:ind w:left="1440" w:hanging="360"/>
      </w:pPr>
    </w:lvl>
  </w:abstractNum>
  <w:abstractNum w:abstractNumId="2">
    <w:nsid w:val="FFFFFF7E"/>
    <w:multiLevelType w:val="singleLevel"/>
    <w:tmpl w:val="7C2AC2A2"/>
    <w:lvl w:ilvl="0">
      <w:start w:val="1"/>
      <w:numFmt w:val="decimal"/>
      <w:lvlText w:val="%1."/>
      <w:lvlJc w:val="left"/>
      <w:pPr>
        <w:tabs>
          <w:tab w:val="num" w:pos="1080"/>
        </w:tabs>
        <w:ind w:left="1080" w:hanging="360"/>
      </w:pPr>
    </w:lvl>
  </w:abstractNum>
  <w:abstractNum w:abstractNumId="3">
    <w:nsid w:val="FFFFFF7F"/>
    <w:multiLevelType w:val="singleLevel"/>
    <w:tmpl w:val="A718E7FE"/>
    <w:lvl w:ilvl="0">
      <w:start w:val="1"/>
      <w:numFmt w:val="decimal"/>
      <w:lvlText w:val="%1."/>
      <w:lvlJc w:val="left"/>
      <w:pPr>
        <w:tabs>
          <w:tab w:val="num" w:pos="720"/>
        </w:tabs>
        <w:ind w:left="720" w:hanging="360"/>
      </w:pPr>
    </w:lvl>
  </w:abstractNum>
  <w:abstractNum w:abstractNumId="4">
    <w:nsid w:val="FFFFFF80"/>
    <w:multiLevelType w:val="singleLevel"/>
    <w:tmpl w:val="AEB86C8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E30EF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71EE1C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9D6217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3F6FADE"/>
    <w:lvl w:ilvl="0">
      <w:start w:val="1"/>
      <w:numFmt w:val="decimal"/>
      <w:lvlText w:val="%1."/>
      <w:lvlJc w:val="left"/>
      <w:pPr>
        <w:tabs>
          <w:tab w:val="num" w:pos="360"/>
        </w:tabs>
        <w:ind w:left="360" w:hanging="360"/>
      </w:pPr>
    </w:lvl>
  </w:abstractNum>
  <w:abstractNum w:abstractNumId="9">
    <w:nsid w:val="FFFFFF89"/>
    <w:multiLevelType w:val="singleLevel"/>
    <w:tmpl w:val="F410B950"/>
    <w:lvl w:ilvl="0">
      <w:start w:val="1"/>
      <w:numFmt w:val="bullet"/>
      <w:lvlText w:val=""/>
      <w:lvlJc w:val="left"/>
      <w:pPr>
        <w:tabs>
          <w:tab w:val="num" w:pos="360"/>
        </w:tabs>
        <w:ind w:left="360" w:hanging="360"/>
      </w:pPr>
      <w:rPr>
        <w:rFonts w:ascii="Symbol" w:hAnsi="Symbol" w:hint="default"/>
      </w:rPr>
    </w:lvl>
  </w:abstractNum>
  <w:abstractNum w:abstractNumId="10">
    <w:nsid w:val="27812DC7"/>
    <w:multiLevelType w:val="hybridMultilevel"/>
    <w:tmpl w:val="B114BE4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nsid w:val="2BA0457C"/>
    <w:multiLevelType w:val="hybridMultilevel"/>
    <w:tmpl w:val="F9B08C5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54866844"/>
    <w:multiLevelType w:val="hybridMultilevel"/>
    <w:tmpl w:val="933E19BE"/>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3">
    <w:nsid w:val="59D579C0"/>
    <w:multiLevelType w:val="hybridMultilevel"/>
    <w:tmpl w:val="070477C4"/>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alternateStyleNames="0" w:clearFormatting="1" w:customStyles="0" w:directFormattingOnNumbering="0" w:directFormattingOnParagraphs="0" w:directFormattingOnRuns="0" w:directFormattingOnTables="0" w:headingStyles="1" w:latentStyles="1" w:numberingStyles="0" w:stylesInUse="0" w:tableStyles="0" w:top3HeadingStyles="0" w:visibleStyles="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MacPacTrailer">
    <w:name w:val="MacPac Trailer"/>
    <w:pPr>
      <w:widowControl w:val="0"/>
      <w:spacing w:after="0" w:line="200" w:lineRule="exact"/>
    </w:pPr>
    <w:rPr>
      <w:rFonts w:ascii="Times New Roman" w:eastAsia="Times New Roman" w:hAnsi="Times New Roman" w:cs="Times New Roman"/>
      <w:sz w:val="12"/>
      <w:szCs w:val="22"/>
    </w:rPr>
  </w:style>
  <w:style w:type="character" w:styleId="PlaceholderText">
    <w:name w:val="Placeholder Text"/>
    <w:basedOn w:val="DefaultParagraphFont"/>
    <w:uiPriority w:val="99"/>
    <w:semiHidden/>
    <w:rPr>
      <w:color w:val="808080"/>
    </w:rPr>
  </w:style>
  <w:style w:type="paragraph" w:styleId="FootnoteText">
    <w:name w:val="footnote text"/>
    <w:basedOn w:val="Normal"/>
    <w:link w:val="FootnoteTextChar"/>
    <w:uiPriority w:val="99"/>
    <w:semiHidden/>
    <w:unhideWhenUsed/>
    <w:pPr>
      <w:spacing w:after="0" w:line="240" w:lineRule="auto"/>
    </w:pPr>
  </w:style>
  <w:style w:type="character" w:customStyle="1" w:styleId="FootnoteTextChar">
    <w:name w:val="Footnote Text Char"/>
    <w:basedOn w:val="DefaultParagraphFont"/>
    <w:link w:val="FootnoteText"/>
    <w:uiPriority w:val="99"/>
    <w:semiHidden/>
    <w:rPr>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pPr>
      <w:spacing w:after="120" w:line="480" w:lineRule="auto"/>
      <w:ind w:firstLine="720"/>
    </w:pPr>
  </w:style>
  <w:style w:type="character" w:customStyle="1" w:styleId="BodyTextChar">
    <w:name w:val="Body Text Char"/>
    <w:basedOn w:val="DefaultParagraphFont"/>
    <w:link w:val="BodyText"/>
    <w:uiPriority w:val="99"/>
  </w:style>
  <w:style w:type="paragraph" w:styleId="BodyText2">
    <w:name w:val="Body Text 2"/>
    <w:basedOn w:val="Normal"/>
    <w:link w:val="BodyText2Char"/>
    <w:uiPriority w:val="99"/>
    <w:unhideWhenUsed/>
    <w:pPr>
      <w:spacing w:after="120" w:line="480" w:lineRule="auto"/>
    </w:pPr>
  </w:style>
  <w:style w:type="character" w:customStyle="1" w:styleId="BodyText2Char">
    <w:name w:val="Body Text 2 Char"/>
    <w:basedOn w:val="DefaultParagraphFont"/>
    <w:link w:val="BodyText2"/>
    <w:uiPriority w:val="99"/>
  </w:style>
  <w:style w:type="character" w:styleId="Hyperlink">
    <w:name w:val="Hyperlink"/>
    <w:uiPriority w:val="99"/>
    <w:unhideWhenUsed/>
    <w:rPr>
      <w:color w:val="0000FF"/>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Times New Roman" w:hAnsi="Times New Roma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b/>
      <w:bCs/>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84300-1DCD-4AFB-A83A-BA79565DD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996</Characters>
  <Application>Microsoft Office Word</Application>
  <DocSecurity>0</DocSecurity>
  <Lines>8</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